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bookmarkStart w:id="0" w:name="_GoBack"/>
      <w:bookmarkEnd w:id="0"/>
      <w:r w:rsidRPr="00087310">
        <w:rPr>
          <w:rFonts w:cs="Arial"/>
          <w:bCs/>
          <w:noProof w:val="0"/>
          <w:sz w:val="24"/>
          <w:szCs w:val="24"/>
          <w:lang w:val="en-GB"/>
        </w:rPr>
        <w:t>3GPP T</w:t>
      </w:r>
      <w:bookmarkStart w:id="1" w:name="_Ref452454252"/>
      <w:bookmarkEnd w:id="1"/>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D21862">
        <w:rPr>
          <w:rFonts w:cs="Arial"/>
          <w:noProof w:val="0"/>
          <w:sz w:val="24"/>
          <w:szCs w:val="24"/>
          <w:lang w:val="en-GB"/>
        </w:rPr>
        <w:t>4</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461E51">
        <w:rPr>
          <w:rFonts w:cs="Arial"/>
          <w:bCs/>
          <w:noProof w:val="0"/>
          <w:sz w:val="24"/>
          <w:lang w:val="en-GB" w:eastAsia="ja-JP"/>
        </w:rPr>
        <w:t>01141</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5C72E0">
        <w:rPr>
          <w:rFonts w:eastAsia="PMingLiU" w:cs="Arial"/>
          <w:sz w:val="24"/>
          <w:lang w:val="en-GB" w:eastAsia="zh-TW"/>
        </w:rPr>
        <w:t>2</w:t>
      </w:r>
      <w:r w:rsidR="00551935">
        <w:rPr>
          <w:rFonts w:eastAsia="PMingLiU" w:cs="Arial"/>
          <w:sz w:val="24"/>
          <w:lang w:val="en-GB" w:eastAsia="zh-TW"/>
        </w:rPr>
        <w:t>5</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CA075C">
        <w:rPr>
          <w:rFonts w:eastAsia="PMingLiU" w:cs="Arial"/>
          <w:sz w:val="24"/>
          <w:lang w:val="en-GB" w:eastAsia="zh-TW"/>
        </w:rPr>
        <w:t>January</w:t>
      </w:r>
      <w:r w:rsidR="00574753">
        <w:rPr>
          <w:rFonts w:eastAsia="PMingLiU" w:cs="Arial"/>
          <w:sz w:val="24"/>
          <w:lang w:val="en-GB" w:eastAsia="zh-TW"/>
        </w:rPr>
        <w:t xml:space="preserve"> – </w:t>
      </w:r>
      <w:r w:rsidR="00551935">
        <w:rPr>
          <w:rFonts w:eastAsia="PMingLiU" w:cs="Arial"/>
          <w:sz w:val="24"/>
          <w:lang w:val="en-GB" w:eastAsia="zh-TW"/>
        </w:rPr>
        <w:t>5</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551935">
        <w:rPr>
          <w:rFonts w:eastAsia="PMingLiU" w:cs="Arial"/>
          <w:sz w:val="24"/>
          <w:lang w:val="en-GB" w:eastAsia="zh-TW"/>
        </w:rPr>
        <w:t>February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98163E">
        <w:rPr>
          <w:rFonts w:cs="Arial"/>
          <w:b/>
          <w:bCs/>
          <w:sz w:val="24"/>
        </w:rPr>
        <w:t>3</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16E6D">
        <w:rPr>
          <w:rFonts w:ascii="Arial" w:hAnsi="Arial" w:cs="Arial"/>
          <w:b/>
          <w:bCs/>
          <w:szCs w:val="24"/>
        </w:rPr>
        <w:t>Accuracy enhancement for DL-AOD technique</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EC445B" w:rsidRPr="00D21862" w:rsidRDefault="003B78EC" w:rsidP="00D21862">
      <w:pPr>
        <w:jc w:val="both"/>
        <w:rPr>
          <w:sz w:val="22"/>
        </w:rPr>
      </w:pPr>
      <w:bookmarkStart w:id="4" w:name="OLE_LINK15"/>
      <w:bookmarkStart w:id="5" w:name="OLE_LINK16"/>
      <w:bookmarkStart w:id="6" w:name="OLE_LINK21"/>
      <w:bookmarkStart w:id="7" w:name="OLE_LINK22"/>
      <w:bookmarkStart w:id="8" w:name="OLE_LINK23"/>
      <w:bookmarkStart w:id="9" w:name="OLE_LINK11"/>
      <w:bookmarkStart w:id="10" w:name="OLE_LINK12"/>
      <w:r w:rsidRPr="00D21862">
        <w:rPr>
          <w:sz w:val="22"/>
          <w:lang w:val="en-GB"/>
        </w:rPr>
        <w:t>T</w:t>
      </w:r>
      <w:r w:rsidR="00EC445B" w:rsidRPr="00D21862">
        <w:rPr>
          <w:sz w:val="22"/>
          <w:lang w:val="en-GB"/>
        </w:rPr>
        <w:t xml:space="preserve">he </w:t>
      </w:r>
      <w:r w:rsidR="00FB3FCE">
        <w:rPr>
          <w:sz w:val="22"/>
          <w:lang w:val="en-GB"/>
        </w:rPr>
        <w:t>approved work item (RP-202900) has 2 objectives in RAN1,</w:t>
      </w:r>
    </w:p>
    <w:p w:rsidR="008174EF" w:rsidRDefault="008174EF" w:rsidP="00D21862">
      <w:pPr>
        <w:jc w:val="both"/>
        <w:rPr>
          <w:sz w:val="22"/>
          <w:lang w:val="en-GB"/>
        </w:rPr>
      </w:pPr>
    </w:p>
    <w:tbl>
      <w:tblPr>
        <w:tblStyle w:val="TableGrid"/>
        <w:tblW w:w="0" w:type="auto"/>
        <w:tblInd w:w="-5" w:type="dxa"/>
        <w:tblLook w:val="04A0" w:firstRow="1" w:lastRow="0" w:firstColumn="1" w:lastColumn="0" w:noHBand="0" w:noVBand="1"/>
      </w:tblPr>
      <w:tblGrid>
        <w:gridCol w:w="9629"/>
      </w:tblGrid>
      <w:tr w:rsidR="00CA075C" w:rsidTr="00FB3FCE">
        <w:tc>
          <w:tcPr>
            <w:tcW w:w="9629" w:type="dxa"/>
          </w:tcPr>
          <w:p w:rsidR="00CA075C" w:rsidRPr="00CA075C" w:rsidRDefault="00CA075C" w:rsidP="00CA075C">
            <w:pPr>
              <w:jc w:val="both"/>
              <w:rPr>
                <w:rFonts w:cstheme="minorHAnsi"/>
                <w:sz w:val="18"/>
                <w:szCs w:val="18"/>
                <w:u w:val="single"/>
                <w:lang w:eastAsia="ko-KR"/>
              </w:rPr>
            </w:pPr>
            <w:bookmarkStart w:id="11" w:name="_Hlk57059510"/>
            <w:r w:rsidRPr="00CA075C">
              <w:rPr>
                <w:rFonts w:cstheme="minorHAnsi"/>
                <w:sz w:val="18"/>
                <w:szCs w:val="18"/>
                <w:u w:val="single"/>
                <w:lang w:eastAsia="ko-KR"/>
              </w:rPr>
              <w:t>RAN1 centric objectives:</w:t>
            </w:r>
          </w:p>
          <w:p w:rsidR="00CA075C" w:rsidRPr="00CA075C" w:rsidRDefault="00CA075C" w:rsidP="00CA075C">
            <w:pPr>
              <w:jc w:val="both"/>
              <w:rPr>
                <w:rFonts w:cstheme="minorHAnsi"/>
                <w:sz w:val="18"/>
                <w:szCs w:val="18"/>
              </w:rPr>
            </w:pPr>
          </w:p>
          <w:bookmarkEnd w:id="11"/>
          <w:p w:rsidR="00CA075C" w:rsidRPr="00CA075C" w:rsidRDefault="00CA075C" w:rsidP="00CA075C">
            <w:pPr>
              <w:widowControl/>
              <w:numPr>
                <w:ilvl w:val="0"/>
                <w:numId w:val="12"/>
              </w:numPr>
              <w:ind w:left="714" w:hanging="357"/>
              <w:rPr>
                <w:rFonts w:cstheme="minorHAnsi"/>
                <w:sz w:val="18"/>
                <w:szCs w:val="18"/>
              </w:rPr>
            </w:pPr>
            <w:r w:rsidRPr="00CA075C">
              <w:rPr>
                <w:rFonts w:cstheme="minorHAnsi"/>
                <w:sz w:val="18"/>
                <w:szCs w:val="18"/>
              </w:rPr>
              <w:t>Specify methods, measurements, signalling, and procedures for improving positioning accuracy of the Rel-16 NR positioning methods</w:t>
            </w:r>
            <w:r w:rsidRPr="00CA075C">
              <w:rPr>
                <w:rFonts w:cstheme="minorHAnsi"/>
                <w:sz w:val="18"/>
                <w:szCs w:val="18"/>
                <w:u w:val="single"/>
              </w:rPr>
              <w:t xml:space="preserve"> </w:t>
            </w:r>
            <w:r w:rsidRPr="00CA075C">
              <w:rPr>
                <w:rFonts w:cstheme="minorHAnsi"/>
                <w:sz w:val="18"/>
                <w:szCs w:val="18"/>
              </w:rPr>
              <w:t>by mitigating UE Rx/Tx and/or gNB Rx/Tx timing delays, including</w:t>
            </w:r>
            <w:r w:rsidRPr="00CA075C">
              <w:rPr>
                <w:rFonts w:eastAsia="MS Mincho" w:cstheme="minorHAnsi"/>
                <w:sz w:val="18"/>
                <w:szCs w:val="18"/>
              </w:rPr>
              <w:t xml:space="preserve"> [RAN1]</w:t>
            </w:r>
          </w:p>
          <w:p w:rsidR="00CA075C" w:rsidRPr="00CA075C" w:rsidRDefault="00CA075C" w:rsidP="00CA075C">
            <w:pPr>
              <w:widowControl/>
              <w:numPr>
                <w:ilvl w:val="1"/>
                <w:numId w:val="12"/>
              </w:numPr>
              <w:rPr>
                <w:rFonts w:eastAsia="MS Mincho" w:cstheme="minorHAnsi"/>
                <w:sz w:val="18"/>
                <w:szCs w:val="18"/>
              </w:rPr>
            </w:pPr>
            <w:r w:rsidRPr="00CA075C">
              <w:rPr>
                <w:rFonts w:cstheme="minorHAnsi"/>
                <w:sz w:val="18"/>
                <w:szCs w:val="18"/>
              </w:rPr>
              <w:t>DL, UL and DL+UL positioning methods</w:t>
            </w:r>
          </w:p>
          <w:p w:rsidR="00CA075C" w:rsidRPr="00CA075C" w:rsidRDefault="00CA075C" w:rsidP="00CA075C">
            <w:pPr>
              <w:widowControl/>
              <w:numPr>
                <w:ilvl w:val="1"/>
                <w:numId w:val="12"/>
              </w:numPr>
              <w:rPr>
                <w:rFonts w:eastAsia="MS Mincho" w:cstheme="minorHAnsi"/>
                <w:sz w:val="18"/>
                <w:szCs w:val="18"/>
              </w:rPr>
            </w:pPr>
            <w:r w:rsidRPr="00CA075C">
              <w:rPr>
                <w:rFonts w:cstheme="minorHAnsi"/>
                <w:sz w:val="18"/>
                <w:szCs w:val="18"/>
              </w:rPr>
              <w:t>UE-based and UE-assisted positioning solutions</w:t>
            </w:r>
          </w:p>
          <w:p w:rsidR="00CA075C" w:rsidRPr="00CA075C" w:rsidRDefault="00CA075C" w:rsidP="00CA075C">
            <w:pPr>
              <w:ind w:left="1440"/>
              <w:rPr>
                <w:rFonts w:eastAsia="MS Mincho" w:cstheme="minorHAnsi"/>
                <w:sz w:val="18"/>
                <w:szCs w:val="18"/>
              </w:rPr>
            </w:pPr>
          </w:p>
          <w:p w:rsidR="00CA075C" w:rsidRPr="00CA075C" w:rsidRDefault="00CA075C" w:rsidP="00CA075C">
            <w:pPr>
              <w:widowControl/>
              <w:numPr>
                <w:ilvl w:val="0"/>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Specify the procedure, measurements, reporting, and signalling for improving the accuracy of [RAN1]</w:t>
            </w:r>
          </w:p>
          <w:p w:rsidR="00CA075C" w:rsidRPr="00CA075C" w:rsidRDefault="00CA075C" w:rsidP="00CA075C">
            <w:pPr>
              <w:widowControl/>
              <w:numPr>
                <w:ilvl w:val="1"/>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UL AoA for network-based positioning solutions.</w:t>
            </w:r>
          </w:p>
          <w:p w:rsidR="00CA075C" w:rsidRPr="00CA075C" w:rsidRDefault="00CA075C" w:rsidP="00CA075C">
            <w:pPr>
              <w:widowControl/>
              <w:numPr>
                <w:ilvl w:val="1"/>
                <w:numId w:val="11"/>
              </w:numPr>
              <w:overflowPunct w:val="0"/>
              <w:autoSpaceDE w:val="0"/>
              <w:autoSpaceDN w:val="0"/>
              <w:adjustRightInd w:val="0"/>
              <w:textAlignment w:val="baseline"/>
              <w:rPr>
                <w:rFonts w:eastAsia="MS Mincho" w:cstheme="minorHAnsi"/>
                <w:sz w:val="18"/>
                <w:szCs w:val="18"/>
              </w:rPr>
            </w:pPr>
            <w:r w:rsidRPr="00CA075C">
              <w:rPr>
                <w:rFonts w:eastAsia="MS Mincho" w:cstheme="minorHAnsi"/>
                <w:sz w:val="18"/>
                <w:szCs w:val="18"/>
              </w:rPr>
              <w:t>DL-AoD for UE-based and network-based (including UE-assisted) positioning solutions.</w:t>
            </w:r>
          </w:p>
          <w:p w:rsidR="00CA075C" w:rsidRPr="00CA075C" w:rsidRDefault="00CA075C" w:rsidP="00CA075C">
            <w:pPr>
              <w:ind w:left="720"/>
              <w:rPr>
                <w:rFonts w:eastAsia="MS Mincho" w:cstheme="minorHAnsi"/>
                <w:sz w:val="18"/>
                <w:szCs w:val="18"/>
              </w:rPr>
            </w:pPr>
            <w:r w:rsidRPr="00CA075C">
              <w:rPr>
                <w:rFonts w:eastAsia="MS Mincho" w:cstheme="minorHAnsi"/>
                <w:sz w:val="18"/>
                <w:szCs w:val="18"/>
              </w:rPr>
              <w:t>Note: RAN1 will discuss the candidate solutions and provide updates for this objective, with status to be reviewed in RAN#91e.</w:t>
            </w:r>
          </w:p>
          <w:p w:rsidR="00CA075C" w:rsidRPr="00CA075C" w:rsidRDefault="00CA075C" w:rsidP="00CA075C">
            <w:pPr>
              <w:contextualSpacing/>
              <w:jc w:val="both"/>
              <w:rPr>
                <w:rFonts w:cstheme="minorHAnsi"/>
                <w:sz w:val="18"/>
                <w:szCs w:val="18"/>
                <w:lang w:eastAsia="ko-KR"/>
              </w:rPr>
            </w:pPr>
            <w:r w:rsidRPr="00CA075C" w:rsidDel="00647D18">
              <w:rPr>
                <w:rFonts w:eastAsia="MS Mincho" w:cstheme="minorHAnsi"/>
                <w:sz w:val="18"/>
                <w:szCs w:val="18"/>
              </w:rPr>
              <w:t xml:space="preserve"> </w:t>
            </w:r>
          </w:p>
          <w:p w:rsidR="00CA075C" w:rsidRPr="00CA075C" w:rsidRDefault="00CA075C" w:rsidP="00CA075C">
            <w:pPr>
              <w:contextualSpacing/>
              <w:jc w:val="both"/>
              <w:rPr>
                <w:rFonts w:cstheme="minorHAnsi"/>
                <w:sz w:val="18"/>
                <w:szCs w:val="18"/>
                <w:lang w:eastAsia="ko-KR"/>
              </w:rPr>
            </w:pPr>
            <w:r w:rsidRPr="00CA075C">
              <w:rPr>
                <w:rFonts w:cstheme="minorHAnsi"/>
                <w:sz w:val="18"/>
                <w:szCs w:val="18"/>
                <w:lang w:eastAsia="ko-KR"/>
              </w:rPr>
              <w:t xml:space="preserve">Notes: </w:t>
            </w:r>
          </w:p>
          <w:p w:rsidR="00CA075C" w:rsidRPr="00CA075C" w:rsidRDefault="00CA075C" w:rsidP="00CA075C">
            <w:pPr>
              <w:pStyle w:val="3GPPAgreements"/>
              <w:widowControl/>
              <w:spacing w:before="0" w:after="0"/>
              <w:rPr>
                <w:rFonts w:asciiTheme="minorHAnsi" w:hAnsiTheme="minorHAnsi" w:cstheme="minorHAnsi"/>
                <w:sz w:val="18"/>
                <w:szCs w:val="18"/>
              </w:rPr>
            </w:pPr>
            <w:r w:rsidRPr="00CA075C">
              <w:rPr>
                <w:rFonts w:asciiTheme="minorHAnsi" w:hAnsiTheme="minorHAnsi" w:cstheme="minorHAnsi"/>
                <w:sz w:val="18"/>
                <w:szCs w:val="18"/>
              </w:rPr>
              <w:t>Solutions for RAT-dependent positioning enhancements are designed to operate in both frequency ranges (i.e. FR1 &amp; FR2)</w:t>
            </w:r>
          </w:p>
          <w:p w:rsidR="00CA075C" w:rsidRPr="00CA075C" w:rsidRDefault="00CA075C" w:rsidP="00D21862">
            <w:pPr>
              <w:pStyle w:val="3GPPAgreements"/>
              <w:widowControl/>
              <w:spacing w:before="0" w:after="0"/>
              <w:rPr>
                <w:rFonts w:asciiTheme="minorHAnsi" w:hAnsiTheme="minorHAnsi" w:cstheme="minorHAnsi"/>
                <w:bCs/>
                <w:sz w:val="18"/>
                <w:szCs w:val="18"/>
              </w:rPr>
            </w:pPr>
            <w:bookmarkStart w:id="12" w:name="_Hlk57059470"/>
            <w:r w:rsidRPr="00FB3FCE">
              <w:rPr>
                <w:rFonts w:asciiTheme="minorHAnsi" w:hAnsiTheme="minorHAnsi" w:cstheme="minorHAnsi"/>
                <w:b/>
                <w:sz w:val="18"/>
                <w:szCs w:val="18"/>
              </w:rPr>
              <w:t>The WID is subject to further update in RAN #91</w:t>
            </w:r>
            <w:r w:rsidRPr="00CA075C">
              <w:rPr>
                <w:rFonts w:asciiTheme="minorHAnsi" w:hAnsiTheme="minorHAnsi" w:cstheme="minorHAnsi"/>
                <w:sz w:val="18"/>
                <w:szCs w:val="18"/>
              </w:rPr>
              <w:t xml:space="preserve"> for RAN1/2/3/4 scoping. </w:t>
            </w:r>
            <w:bookmarkEnd w:id="12"/>
          </w:p>
        </w:tc>
      </w:tr>
    </w:tbl>
    <w:p w:rsidR="00CA075C" w:rsidRDefault="00CA075C" w:rsidP="00D21862">
      <w:pPr>
        <w:jc w:val="both"/>
        <w:rPr>
          <w:sz w:val="22"/>
          <w:lang w:val="en-GB"/>
        </w:rPr>
      </w:pPr>
    </w:p>
    <w:p w:rsidR="00CA075C" w:rsidRDefault="00FB3FCE" w:rsidP="00D21862">
      <w:pPr>
        <w:jc w:val="both"/>
        <w:rPr>
          <w:sz w:val="22"/>
          <w:lang w:val="en-GB"/>
        </w:rPr>
      </w:pPr>
      <w:r>
        <w:rPr>
          <w:rFonts w:hint="eastAsia"/>
          <w:sz w:val="22"/>
          <w:lang w:val="en-GB"/>
        </w:rPr>
        <w:t xml:space="preserve">In this contribution, </w:t>
      </w:r>
      <w:r w:rsidR="001350A7">
        <w:rPr>
          <w:sz w:val="22"/>
          <w:lang w:val="en-GB"/>
        </w:rPr>
        <w:t>the</w:t>
      </w:r>
      <w:r w:rsidR="00CE5A6D">
        <w:rPr>
          <w:sz w:val="22"/>
          <w:lang w:val="en-GB"/>
        </w:rPr>
        <w:t xml:space="preserve"> solutions for </w:t>
      </w:r>
      <w:r w:rsidR="00F16E6D">
        <w:rPr>
          <w:sz w:val="22"/>
          <w:lang w:val="en-GB"/>
        </w:rPr>
        <w:t xml:space="preserve">accuracy </w:t>
      </w:r>
      <w:r w:rsidR="00CE5A6D">
        <w:rPr>
          <w:sz w:val="22"/>
          <w:lang w:val="en-GB"/>
        </w:rPr>
        <w:t xml:space="preserve">enhancement </w:t>
      </w:r>
      <w:r w:rsidR="00F16E6D">
        <w:rPr>
          <w:sz w:val="22"/>
          <w:lang w:val="en-GB"/>
        </w:rPr>
        <w:t xml:space="preserve">for DL-AOD technique are </w:t>
      </w:r>
      <w:r w:rsidR="001350A7">
        <w:rPr>
          <w:sz w:val="22"/>
          <w:lang w:val="en-GB"/>
        </w:rPr>
        <w:t>analysed and proposed.</w:t>
      </w:r>
    </w:p>
    <w:p w:rsidR="00FB3FCE" w:rsidRPr="00D21862" w:rsidRDefault="00FB3FCE" w:rsidP="00D21862">
      <w:pPr>
        <w:jc w:val="both"/>
        <w:rPr>
          <w:sz w:val="22"/>
          <w:lang w:val="en-GB"/>
        </w:rPr>
      </w:pPr>
    </w:p>
    <w:bookmarkEnd w:id="4"/>
    <w:bookmarkEnd w:id="5"/>
    <w:bookmarkEnd w:id="6"/>
    <w:bookmarkEnd w:id="7"/>
    <w:bookmarkEnd w:id="8"/>
    <w:bookmarkEnd w:id="9"/>
    <w:bookmarkEnd w:id="10"/>
    <w:p w:rsidR="001D795B" w:rsidRPr="004D5345" w:rsidRDefault="00B07945" w:rsidP="001D795B">
      <w:pPr>
        <w:pStyle w:val="Heading1"/>
        <w:numPr>
          <w:ilvl w:val="0"/>
          <w:numId w:val="1"/>
        </w:numPr>
        <w:spacing w:before="0" w:after="120"/>
        <w:ind w:left="490" w:hanging="490"/>
        <w:rPr>
          <w:rFonts w:eastAsia="PMingLiU"/>
          <w:sz w:val="32"/>
          <w:szCs w:val="32"/>
          <w:lang w:eastAsia="zh-TW"/>
        </w:rPr>
      </w:pPr>
      <w:r>
        <w:rPr>
          <w:rFonts w:eastAsia="PMingLiU"/>
          <w:sz w:val="32"/>
          <w:szCs w:val="32"/>
          <w:lang w:eastAsia="zh-TW"/>
        </w:rPr>
        <w:t>The identified issues for Rel-16 DL-AOD</w:t>
      </w:r>
    </w:p>
    <w:p w:rsidR="003B6B26" w:rsidRPr="00920E59" w:rsidRDefault="005E4FA6" w:rsidP="00C832C0">
      <w:pPr>
        <w:jc w:val="both"/>
        <w:rPr>
          <w:sz w:val="22"/>
        </w:rPr>
      </w:pPr>
      <w:r>
        <w:rPr>
          <w:sz w:val="22"/>
          <w:lang w:val="en-GB" w:eastAsia="en-US"/>
        </w:rPr>
        <w:t xml:space="preserve">The DL-AOD technique utilizes the concept that, </w:t>
      </w:r>
      <w:r w:rsidR="00920E59">
        <w:rPr>
          <w:sz w:val="22"/>
          <w:lang w:val="en-GB" w:eastAsia="en-US"/>
        </w:rPr>
        <w:t xml:space="preserve">when </w:t>
      </w:r>
      <w:r>
        <w:rPr>
          <w:sz w:val="22"/>
          <w:lang w:val="en-GB" w:eastAsia="en-US"/>
        </w:rPr>
        <w:t xml:space="preserve">each TRP transmits multiple beams, </w:t>
      </w:r>
      <w:r w:rsidR="00920E59">
        <w:rPr>
          <w:sz w:val="22"/>
          <w:lang w:val="en-GB" w:eastAsia="en-US"/>
        </w:rPr>
        <w:t xml:space="preserve">the </w:t>
      </w:r>
      <w:r>
        <w:rPr>
          <w:sz w:val="22"/>
          <w:lang w:val="en-GB" w:eastAsia="en-US"/>
        </w:rPr>
        <w:t>UE may fix the received beam</w:t>
      </w:r>
      <w:r w:rsidR="00F97B39">
        <w:rPr>
          <w:sz w:val="22"/>
          <w:lang w:val="en-GB" w:eastAsia="en-US"/>
        </w:rPr>
        <w:t>forming parameters</w:t>
      </w:r>
      <w:r>
        <w:rPr>
          <w:sz w:val="22"/>
          <w:lang w:val="en-GB" w:eastAsia="en-US"/>
        </w:rPr>
        <w:t xml:space="preserve"> for receiving the beams from each TRP. The RSRP </w:t>
      </w:r>
      <w:r w:rsidR="00920E59">
        <w:rPr>
          <w:sz w:val="22"/>
          <w:lang w:val="en-GB" w:eastAsia="en-US"/>
        </w:rPr>
        <w:t xml:space="preserve">of each received </w:t>
      </w:r>
      <w:r>
        <w:rPr>
          <w:sz w:val="22"/>
          <w:lang w:val="en-GB" w:eastAsia="en-US"/>
        </w:rPr>
        <w:t xml:space="preserve">beam is measured. For </w:t>
      </w:r>
      <w:r w:rsidR="00920E59">
        <w:rPr>
          <w:sz w:val="22"/>
          <w:lang w:val="en-GB" w:eastAsia="en-US"/>
        </w:rPr>
        <w:t xml:space="preserve">RSRP measurements of the </w:t>
      </w:r>
      <w:r>
        <w:rPr>
          <w:sz w:val="22"/>
          <w:lang w:val="en-GB" w:eastAsia="en-US"/>
        </w:rPr>
        <w:t xml:space="preserve">beams from each TRP, the differential RSRP values which are relative to the strongest received beam </w:t>
      </w:r>
      <w:r w:rsidR="009435C9">
        <w:rPr>
          <w:sz w:val="22"/>
          <w:lang w:val="en-GB" w:eastAsia="en-US"/>
        </w:rPr>
        <w:t xml:space="preserve">from each TRP </w:t>
      </w:r>
      <w:r w:rsidR="00C13318">
        <w:rPr>
          <w:sz w:val="22"/>
          <w:lang w:val="en-GB" w:eastAsia="en-US"/>
        </w:rPr>
        <w:t>could be reported.</w:t>
      </w:r>
      <w:r w:rsidR="00920E59">
        <w:rPr>
          <w:sz w:val="22"/>
          <w:lang w:val="en-GB" w:eastAsia="en-US"/>
        </w:rPr>
        <w:t xml:space="preserve"> A number dif</w:t>
      </w:r>
      <w:r w:rsidR="00E64F60">
        <w:rPr>
          <w:sz w:val="22"/>
          <w:lang w:val="en-GB" w:eastAsia="en-US"/>
        </w:rPr>
        <w:t xml:space="preserve">ferential RSRP values indicate </w:t>
      </w:r>
      <w:r w:rsidR="00920E59">
        <w:rPr>
          <w:sz w:val="22"/>
          <w:lang w:val="en-GB" w:eastAsia="en-US"/>
        </w:rPr>
        <w:t xml:space="preserve">the direction </w:t>
      </w:r>
      <w:r w:rsidR="007D3573">
        <w:rPr>
          <w:sz w:val="22"/>
          <w:lang w:val="en-GB" w:eastAsia="en-US"/>
        </w:rPr>
        <w:t xml:space="preserve">between a TRP to UE </w:t>
      </w:r>
      <w:r w:rsidR="00920E59">
        <w:rPr>
          <w:sz w:val="22"/>
          <w:lang w:val="en-GB" w:eastAsia="en-US"/>
        </w:rPr>
        <w:t xml:space="preserve">implicitly. </w:t>
      </w:r>
    </w:p>
    <w:p w:rsidR="003B6B26" w:rsidRPr="005E4FA6" w:rsidRDefault="003B6B26" w:rsidP="00C832C0">
      <w:pPr>
        <w:jc w:val="both"/>
        <w:rPr>
          <w:sz w:val="22"/>
          <w:lang w:val="en-GB" w:eastAsia="en-US"/>
        </w:rPr>
      </w:pPr>
    </w:p>
    <w:p w:rsidR="003B6B26" w:rsidRDefault="00CA02AD" w:rsidP="00C832C0">
      <w:pPr>
        <w:jc w:val="both"/>
        <w:rPr>
          <w:sz w:val="22"/>
          <w:lang w:val="en-GB" w:eastAsia="en-US"/>
        </w:rPr>
      </w:pPr>
      <w:r>
        <w:rPr>
          <w:rFonts w:hint="eastAsia"/>
          <w:sz w:val="22"/>
          <w:lang w:val="en-GB" w:eastAsia="en-US"/>
        </w:rPr>
        <w:t>Th</w:t>
      </w:r>
      <w:r>
        <w:rPr>
          <w:sz w:val="22"/>
          <w:lang w:val="en-GB" w:eastAsia="en-US"/>
        </w:rPr>
        <w:t>at a number of differential RSRP values may indicate the directi</w:t>
      </w:r>
      <w:r w:rsidR="00483F44">
        <w:rPr>
          <w:sz w:val="22"/>
          <w:lang w:val="en-GB" w:eastAsia="en-US"/>
        </w:rPr>
        <w:t xml:space="preserve">on can be explained in Fig. 2-1, where in this example, </w:t>
      </w:r>
      <w:r w:rsidR="003919AD">
        <w:rPr>
          <w:sz w:val="22"/>
          <w:lang w:val="en-GB" w:eastAsia="en-US"/>
        </w:rPr>
        <w:t xml:space="preserve">there are 4 beams </w:t>
      </w:r>
      <w:r w:rsidR="00A82CD5">
        <w:rPr>
          <w:sz w:val="22"/>
          <w:lang w:val="en-GB" w:eastAsia="en-US"/>
        </w:rPr>
        <w:t xml:space="preserve">each </w:t>
      </w:r>
      <w:r w:rsidR="003919AD">
        <w:rPr>
          <w:sz w:val="22"/>
          <w:lang w:val="en-GB" w:eastAsia="en-US"/>
        </w:rPr>
        <w:t xml:space="preserve">steering in respective direction. The EIRP of each beam is plotted with different color. </w:t>
      </w:r>
      <w:r w:rsidR="00BB06F1">
        <w:rPr>
          <w:sz w:val="22"/>
          <w:lang w:val="en-GB" w:eastAsia="en-US"/>
        </w:rPr>
        <w:t>Take the angle = 20</w:t>
      </w:r>
      <w:r w:rsidR="00BB06F1" w:rsidRPr="00BB06F1">
        <w:rPr>
          <w:sz w:val="22"/>
          <w:vertAlign w:val="superscript"/>
          <w:lang w:val="en-GB" w:eastAsia="en-US"/>
        </w:rPr>
        <w:t>o</w:t>
      </w:r>
      <w:r w:rsidR="00BB06F1">
        <w:rPr>
          <w:sz w:val="22"/>
          <w:lang w:val="en-GB" w:eastAsia="en-US"/>
        </w:rPr>
        <w:t xml:space="preserve"> and 10</w:t>
      </w:r>
      <w:r w:rsidR="00BB06F1" w:rsidRPr="00BB06F1">
        <w:rPr>
          <w:sz w:val="22"/>
          <w:vertAlign w:val="superscript"/>
          <w:lang w:val="en-GB" w:eastAsia="en-US"/>
        </w:rPr>
        <w:t>o</w:t>
      </w:r>
      <w:r w:rsidR="001D6160">
        <w:rPr>
          <w:sz w:val="22"/>
          <w:lang w:val="en-GB" w:eastAsia="en-US"/>
        </w:rPr>
        <w:t xml:space="preserve"> for example, in angle </w:t>
      </w:r>
      <w:r w:rsidR="00BB06F1">
        <w:rPr>
          <w:sz w:val="22"/>
          <w:lang w:val="en-GB" w:eastAsia="en-US"/>
        </w:rPr>
        <w:t>20</w:t>
      </w:r>
      <w:r w:rsidR="00BB06F1" w:rsidRPr="001D6160">
        <w:rPr>
          <w:sz w:val="22"/>
          <w:vertAlign w:val="superscript"/>
          <w:lang w:val="en-GB" w:eastAsia="en-US"/>
        </w:rPr>
        <w:t>o</w:t>
      </w:r>
      <w:r w:rsidR="00BB06F1">
        <w:rPr>
          <w:sz w:val="22"/>
          <w:lang w:val="en-GB" w:eastAsia="en-US"/>
        </w:rPr>
        <w:t xml:space="preserve">, the </w:t>
      </w:r>
      <w:r w:rsidR="001D6160">
        <w:rPr>
          <w:sz w:val="22"/>
          <w:lang w:val="en-GB" w:eastAsia="en-US"/>
        </w:rPr>
        <w:t xml:space="preserve">beams with </w:t>
      </w:r>
      <w:r w:rsidR="00BB06F1">
        <w:rPr>
          <w:sz w:val="22"/>
          <w:lang w:val="en-GB" w:eastAsia="en-US"/>
        </w:rPr>
        <w:t xml:space="preserve">EIRP </w:t>
      </w:r>
      <w:r w:rsidR="001D6160">
        <w:rPr>
          <w:sz w:val="22"/>
          <w:lang w:val="en-GB" w:eastAsia="en-US"/>
        </w:rPr>
        <w:t>in decreasing order of intensity are green beam, pink beam, red beam and blue beam. In angle 10</w:t>
      </w:r>
      <w:r w:rsidR="001D6160" w:rsidRPr="001D6160">
        <w:rPr>
          <w:sz w:val="22"/>
          <w:vertAlign w:val="superscript"/>
          <w:lang w:val="en-GB" w:eastAsia="en-US"/>
        </w:rPr>
        <w:t>o</w:t>
      </w:r>
      <w:r w:rsidR="001D6160">
        <w:rPr>
          <w:sz w:val="22"/>
          <w:lang w:val="en-GB" w:eastAsia="en-US"/>
        </w:rPr>
        <w:t xml:space="preserve">, the order becomes </w:t>
      </w:r>
      <w:r w:rsidR="002E1F5B">
        <w:rPr>
          <w:sz w:val="22"/>
          <w:lang w:val="en-GB" w:eastAsia="en-US"/>
        </w:rPr>
        <w:t>green</w:t>
      </w:r>
      <w:r w:rsidR="001D6160">
        <w:rPr>
          <w:sz w:val="22"/>
          <w:lang w:val="en-GB" w:eastAsia="en-US"/>
        </w:rPr>
        <w:t xml:space="preserve"> beam, red beam blue beam and pink beam</w:t>
      </w:r>
      <w:r w:rsidR="00C832C0">
        <w:rPr>
          <w:sz w:val="22"/>
          <w:lang w:val="en-GB" w:eastAsia="en-US"/>
        </w:rPr>
        <w:t>. Also the EIRP differences among beams in different angles are also different. This explains the purpose of the reporting of multiple differ</w:t>
      </w:r>
      <w:r w:rsidR="007D31BD">
        <w:rPr>
          <w:sz w:val="22"/>
          <w:lang w:val="en-GB" w:eastAsia="en-US"/>
        </w:rPr>
        <w:t>ential RSRP values for each TRP: multiple differential RSRP values can be treated as the signature of direction between a TRP and UE.</w:t>
      </w:r>
    </w:p>
    <w:p w:rsidR="00165B97" w:rsidRDefault="00165B97" w:rsidP="00C832C0">
      <w:pPr>
        <w:jc w:val="both"/>
        <w:rPr>
          <w:sz w:val="22"/>
          <w:lang w:val="en-GB" w:eastAsia="en-US"/>
        </w:rPr>
      </w:pPr>
    </w:p>
    <w:p w:rsidR="00165B97" w:rsidRDefault="00165B97" w:rsidP="00C832C0">
      <w:pPr>
        <w:jc w:val="both"/>
        <w:rPr>
          <w:sz w:val="22"/>
          <w:lang w:val="en-GB"/>
        </w:rPr>
      </w:pPr>
      <w:r>
        <w:rPr>
          <w:sz w:val="22"/>
          <w:lang w:val="en-GB" w:eastAsia="en-US"/>
        </w:rPr>
        <w:t xml:space="preserve">As shown </w:t>
      </w:r>
      <w:r w:rsidR="006A7709">
        <w:rPr>
          <w:sz w:val="22"/>
          <w:lang w:val="en-GB" w:eastAsia="en-US"/>
        </w:rPr>
        <w:t xml:space="preserve">in Fig. 2-2, </w:t>
      </w:r>
      <w:r>
        <w:rPr>
          <w:sz w:val="22"/>
          <w:lang w:val="en-GB" w:eastAsia="en-US"/>
        </w:rPr>
        <w:t xml:space="preserve">the PRS beam information </w:t>
      </w:r>
      <w:r w:rsidR="006A7709">
        <w:rPr>
          <w:sz w:val="22"/>
          <w:lang w:val="en-GB" w:eastAsia="en-US"/>
        </w:rPr>
        <w:t xml:space="preserve">in TS 38.455 </w:t>
      </w:r>
      <w:r>
        <w:rPr>
          <w:sz w:val="22"/>
          <w:lang w:val="en-GB" w:eastAsia="en-US"/>
        </w:rPr>
        <w:t xml:space="preserve">is reported from gNB to the location server. The beam information in the table is </w:t>
      </w:r>
      <w:r w:rsidR="00C35B3D">
        <w:rPr>
          <w:sz w:val="22"/>
          <w:lang w:val="en-GB" w:eastAsia="en-US"/>
        </w:rPr>
        <w:t xml:space="preserve">just </w:t>
      </w:r>
      <w:r>
        <w:rPr>
          <w:sz w:val="22"/>
          <w:lang w:val="en-GB" w:eastAsia="en-US"/>
        </w:rPr>
        <w:t xml:space="preserve">the steering direction of </w:t>
      </w:r>
      <w:r w:rsidR="00F972F2">
        <w:rPr>
          <w:sz w:val="22"/>
          <w:lang w:val="en-GB" w:eastAsia="en-US"/>
        </w:rPr>
        <w:t xml:space="preserve">each </w:t>
      </w:r>
      <w:r>
        <w:rPr>
          <w:sz w:val="22"/>
          <w:lang w:val="en-GB" w:eastAsia="en-US"/>
        </w:rPr>
        <w:t>beam.</w:t>
      </w:r>
      <w:r w:rsidR="00F972F2">
        <w:rPr>
          <w:sz w:val="22"/>
          <w:lang w:val="en-GB" w:eastAsia="en-US"/>
        </w:rPr>
        <w:t xml:space="preserve"> It is a problem that, how the location se</w:t>
      </w:r>
      <w:r w:rsidR="00BF08A1">
        <w:rPr>
          <w:sz w:val="22"/>
          <w:lang w:val="en-GB" w:eastAsia="en-US"/>
        </w:rPr>
        <w:t xml:space="preserve">rver </w:t>
      </w:r>
      <w:r w:rsidR="00F972F2">
        <w:rPr>
          <w:sz w:val="22"/>
          <w:lang w:val="en-GB" w:eastAsia="en-US"/>
        </w:rPr>
        <w:t xml:space="preserve">may map a number of reported differential RSRP values to </w:t>
      </w:r>
      <w:r w:rsidR="005E5958">
        <w:rPr>
          <w:sz w:val="22"/>
          <w:lang w:val="en-GB" w:eastAsia="en-US"/>
        </w:rPr>
        <w:t>a</w:t>
      </w:r>
      <w:r w:rsidR="00F972F2">
        <w:rPr>
          <w:sz w:val="22"/>
          <w:lang w:val="en-GB" w:eastAsia="en-US"/>
        </w:rPr>
        <w:t xml:space="preserve"> </w:t>
      </w:r>
      <w:r w:rsidR="00601795">
        <w:rPr>
          <w:sz w:val="22"/>
          <w:lang w:val="en-GB" w:eastAsia="en-US"/>
        </w:rPr>
        <w:t>fine</w:t>
      </w:r>
      <w:r w:rsidR="00F972F2">
        <w:rPr>
          <w:sz w:val="22"/>
          <w:lang w:val="en-GB" w:eastAsia="en-US"/>
        </w:rPr>
        <w:t xml:space="preserve"> direction</w:t>
      </w:r>
      <w:r w:rsidR="00601795">
        <w:rPr>
          <w:rFonts w:hint="eastAsia"/>
          <w:sz w:val="22"/>
          <w:lang w:val="en-GB"/>
        </w:rPr>
        <w:t xml:space="preserve">? </w:t>
      </w:r>
      <w:r w:rsidR="00601795">
        <w:rPr>
          <w:sz w:val="22"/>
          <w:lang w:val="en-GB"/>
        </w:rPr>
        <w:t xml:space="preserve">In our view, each </w:t>
      </w:r>
      <w:r w:rsidR="00607272">
        <w:rPr>
          <w:sz w:val="22"/>
          <w:lang w:val="en-GB"/>
        </w:rPr>
        <w:t xml:space="preserve">TRP may need to report a </w:t>
      </w:r>
      <w:r w:rsidR="00601795">
        <w:rPr>
          <w:sz w:val="22"/>
          <w:lang w:val="en-GB"/>
        </w:rPr>
        <w:t xml:space="preserve">table which </w:t>
      </w:r>
      <w:r w:rsidR="00C539F0">
        <w:rPr>
          <w:sz w:val="22"/>
          <w:lang w:val="en-GB"/>
        </w:rPr>
        <w:t xml:space="preserve">may </w:t>
      </w:r>
      <w:r w:rsidR="00601795">
        <w:rPr>
          <w:sz w:val="22"/>
          <w:lang w:val="en-GB"/>
        </w:rPr>
        <w:t xml:space="preserve">characterize </w:t>
      </w:r>
      <w:r w:rsidR="00607272">
        <w:rPr>
          <w:sz w:val="22"/>
          <w:lang w:val="en-GB"/>
        </w:rPr>
        <w:t xml:space="preserve">all the beam responses (EIRP), similar to Fig. 2-1. </w:t>
      </w:r>
      <w:r w:rsidR="005D0526">
        <w:rPr>
          <w:sz w:val="22"/>
          <w:lang w:val="en-GB"/>
        </w:rPr>
        <w:t>A look-up</w:t>
      </w:r>
      <w:r w:rsidR="008355B4">
        <w:rPr>
          <w:sz w:val="22"/>
          <w:lang w:val="en-GB"/>
        </w:rPr>
        <w:t xml:space="preserve"> table with differential EIRP across beams for a range of angles could also be considered</w:t>
      </w:r>
      <w:r w:rsidR="00803688">
        <w:rPr>
          <w:sz w:val="22"/>
          <w:lang w:val="en-GB"/>
        </w:rPr>
        <w:t>.</w:t>
      </w:r>
    </w:p>
    <w:p w:rsidR="00803688" w:rsidRDefault="00803688" w:rsidP="00C832C0">
      <w:pPr>
        <w:jc w:val="both"/>
        <w:rPr>
          <w:sz w:val="22"/>
          <w:lang w:val="en-GB"/>
        </w:rPr>
      </w:pPr>
    </w:p>
    <w:p w:rsidR="00803688" w:rsidRPr="008C763A" w:rsidRDefault="00855A7C" w:rsidP="00C832C0">
      <w:pPr>
        <w:jc w:val="both"/>
        <w:rPr>
          <w:sz w:val="22"/>
        </w:rPr>
      </w:pPr>
      <w:r>
        <w:rPr>
          <w:rFonts w:hint="eastAsia"/>
          <w:sz w:val="22"/>
          <w:lang w:val="en-GB"/>
        </w:rPr>
        <w:lastRenderedPageBreak/>
        <w:t xml:space="preserve">The RSRP </w:t>
      </w:r>
      <w:r>
        <w:rPr>
          <w:sz w:val="22"/>
          <w:lang w:val="en-GB"/>
        </w:rPr>
        <w:t>is equivalent to calculate</w:t>
      </w:r>
      <w:r>
        <w:rPr>
          <w:rFonts w:hint="eastAsia"/>
          <w:sz w:val="22"/>
          <w:lang w:val="en-GB"/>
        </w:rPr>
        <w:t xml:space="preserve"> </w:t>
      </w:r>
      <w:r>
        <w:rPr>
          <w:sz w:val="22"/>
          <w:lang w:val="en-GB"/>
        </w:rPr>
        <w:t xml:space="preserve">the total power of all the received paths. </w:t>
      </w:r>
      <w:r w:rsidR="0035601A">
        <w:rPr>
          <w:sz w:val="22"/>
          <w:lang w:val="en-GB"/>
        </w:rPr>
        <w:t xml:space="preserve">Under NLOS scenario, the strongest path is usually not the </w:t>
      </w:r>
      <w:r w:rsidR="001E4477">
        <w:rPr>
          <w:sz w:val="22"/>
          <w:lang w:val="en-GB"/>
        </w:rPr>
        <w:t xml:space="preserve">direct path, and the strongest path may arrive with another direction due to reflection. Therefore, if the measured RSRP </w:t>
      </w:r>
      <w:r w:rsidR="008C763A">
        <w:rPr>
          <w:sz w:val="22"/>
          <w:lang w:val="en-GB"/>
        </w:rPr>
        <w:t xml:space="preserve">values are </w:t>
      </w:r>
      <w:r w:rsidR="001E4477">
        <w:rPr>
          <w:sz w:val="22"/>
          <w:lang w:val="en-GB"/>
        </w:rPr>
        <w:t>dominated</w:t>
      </w:r>
      <w:r w:rsidR="00F03D52">
        <w:rPr>
          <w:sz w:val="22"/>
          <w:lang w:val="en-GB"/>
        </w:rPr>
        <w:t xml:space="preserve"> </w:t>
      </w:r>
      <w:r w:rsidR="008C763A">
        <w:rPr>
          <w:sz w:val="22"/>
          <w:lang w:val="en-GB"/>
        </w:rPr>
        <w:t xml:space="preserve">by the </w:t>
      </w:r>
      <w:r w:rsidR="00A413B3">
        <w:rPr>
          <w:sz w:val="22"/>
        </w:rPr>
        <w:t xml:space="preserve">reflection </w:t>
      </w:r>
      <w:r w:rsidR="008C763A">
        <w:rPr>
          <w:sz w:val="22"/>
          <w:lang w:val="en-GB"/>
        </w:rPr>
        <w:t xml:space="preserve">paths, the final </w:t>
      </w:r>
      <w:r w:rsidR="006215C8">
        <w:rPr>
          <w:sz w:val="22"/>
          <w:lang w:val="en-GB"/>
        </w:rPr>
        <w:t xml:space="preserve">direction </w:t>
      </w:r>
      <w:r w:rsidR="008C763A">
        <w:rPr>
          <w:sz w:val="22"/>
          <w:lang w:val="en-GB"/>
        </w:rPr>
        <w:t>estimation</w:t>
      </w:r>
      <w:r w:rsidR="006215C8">
        <w:rPr>
          <w:sz w:val="22"/>
          <w:lang w:val="en-GB"/>
        </w:rPr>
        <w:t xml:space="preserve"> </w:t>
      </w:r>
      <w:r w:rsidR="008C763A">
        <w:rPr>
          <w:sz w:val="22"/>
          <w:lang w:val="en-GB"/>
        </w:rPr>
        <w:t xml:space="preserve">between any TRP to UE would be biased as well. As a result, the position calculation would </w:t>
      </w:r>
      <w:r w:rsidR="00672548">
        <w:rPr>
          <w:sz w:val="22"/>
          <w:lang w:val="en-GB"/>
        </w:rPr>
        <w:t xml:space="preserve">also </w:t>
      </w:r>
      <w:r w:rsidR="008C763A">
        <w:rPr>
          <w:sz w:val="22"/>
          <w:lang w:val="en-GB"/>
        </w:rPr>
        <w:t xml:space="preserve">be biased due to a number of biased directions. </w:t>
      </w:r>
    </w:p>
    <w:p w:rsidR="00803688" w:rsidRDefault="00803688" w:rsidP="00C832C0">
      <w:pPr>
        <w:jc w:val="both"/>
        <w:rPr>
          <w:sz w:val="22"/>
          <w:lang w:val="en-GB"/>
        </w:rPr>
      </w:pPr>
    </w:p>
    <w:p w:rsidR="00803688" w:rsidRDefault="00403B10" w:rsidP="00C832C0">
      <w:pPr>
        <w:jc w:val="both"/>
        <w:rPr>
          <w:sz w:val="22"/>
          <w:lang w:val="en-GB"/>
        </w:rPr>
      </w:pPr>
      <w:r>
        <w:rPr>
          <w:rFonts w:hint="eastAsia"/>
          <w:sz w:val="22"/>
          <w:lang w:val="en-GB"/>
        </w:rPr>
        <w:t xml:space="preserve">Fig. 2-3 shows an example of CIR observation from </w:t>
      </w:r>
      <w:r>
        <w:rPr>
          <w:sz w:val="22"/>
          <w:lang w:val="en-GB"/>
        </w:rPr>
        <w:t xml:space="preserve">a number of beams. </w:t>
      </w:r>
      <w:r w:rsidR="005B4DB1">
        <w:rPr>
          <w:sz w:val="22"/>
          <w:lang w:val="en-GB"/>
        </w:rPr>
        <w:t xml:space="preserve">If the first path is identified and </w:t>
      </w:r>
      <w:r w:rsidR="006D440B">
        <w:rPr>
          <w:sz w:val="22"/>
          <w:lang w:val="en-GB"/>
        </w:rPr>
        <w:t xml:space="preserve">is </w:t>
      </w:r>
      <w:r w:rsidR="005B4DB1">
        <w:rPr>
          <w:sz w:val="22"/>
          <w:lang w:val="en-GB"/>
        </w:rPr>
        <w:t>measured</w:t>
      </w:r>
      <w:r w:rsidR="006D440B">
        <w:rPr>
          <w:sz w:val="22"/>
          <w:lang w:val="en-GB"/>
        </w:rPr>
        <w:t xml:space="preserve"> of the corresponding power</w:t>
      </w:r>
      <w:r w:rsidR="005B4DB1">
        <w:rPr>
          <w:sz w:val="22"/>
          <w:lang w:val="en-GB"/>
        </w:rPr>
        <w:t>, it is expected to improve the</w:t>
      </w:r>
      <w:r w:rsidR="004576FA">
        <w:rPr>
          <w:sz w:val="22"/>
          <w:lang w:val="en-GB"/>
        </w:rPr>
        <w:t xml:space="preserve"> accuracy</w:t>
      </w:r>
      <w:r w:rsidR="006E279C">
        <w:rPr>
          <w:sz w:val="22"/>
          <w:lang w:val="en-GB"/>
        </w:rPr>
        <w:t>, as shown in Fig. 2-4.</w:t>
      </w:r>
    </w:p>
    <w:p w:rsidR="006E279C" w:rsidRPr="006D440B" w:rsidRDefault="006E279C" w:rsidP="00C832C0">
      <w:pPr>
        <w:jc w:val="both"/>
        <w:rPr>
          <w:sz w:val="22"/>
          <w:lang w:val="en-GB"/>
        </w:rPr>
      </w:pPr>
    </w:p>
    <w:p w:rsidR="007170EB" w:rsidRDefault="006E279C" w:rsidP="00C832C0">
      <w:pPr>
        <w:jc w:val="both"/>
        <w:rPr>
          <w:sz w:val="22"/>
        </w:rPr>
      </w:pPr>
      <w:r>
        <w:rPr>
          <w:sz w:val="22"/>
          <w:lang w:val="en-GB"/>
        </w:rPr>
        <w:t>The general RSRP is measured in frequency domain (post-FFT)</w:t>
      </w:r>
      <w:r w:rsidR="006D440B">
        <w:rPr>
          <w:sz w:val="22"/>
          <w:lang w:val="en-GB"/>
        </w:rPr>
        <w:t xml:space="preserve">. To measure the RSRP of a single path, the RSRP measurement method may need to be revised. </w:t>
      </w:r>
      <w:r w:rsidR="00405F95">
        <w:rPr>
          <w:sz w:val="22"/>
          <w:lang w:val="en-GB"/>
        </w:rPr>
        <w:t xml:space="preserve">If the measurement is conducted in time domain (pre-FFT) after CIR is derived, </w:t>
      </w:r>
      <w:r w:rsidR="007170EB">
        <w:rPr>
          <w:sz w:val="22"/>
        </w:rPr>
        <w:t xml:space="preserve">the “measurement window” containing the first path in each beam may need to be identical. Our simulation in Fig. 2-4 also shows that a fixed measurement window across beams provides better performance than dynamic measurement window. </w:t>
      </w:r>
    </w:p>
    <w:p w:rsidR="007170EB" w:rsidRDefault="007170EB" w:rsidP="00C832C0">
      <w:pPr>
        <w:jc w:val="both"/>
        <w:rPr>
          <w:sz w:val="22"/>
        </w:rPr>
      </w:pPr>
    </w:p>
    <w:p w:rsidR="006E279C" w:rsidRPr="007170EB" w:rsidRDefault="007170EB" w:rsidP="00C832C0">
      <w:pPr>
        <w:jc w:val="both"/>
        <w:rPr>
          <w:sz w:val="22"/>
        </w:rPr>
      </w:pPr>
      <w:r>
        <w:rPr>
          <w:sz w:val="22"/>
        </w:rPr>
        <w:t xml:space="preserve">The dynamic measurement window also means, for each beam, the first path is determined individually. </w:t>
      </w:r>
      <w:r w:rsidR="00F4481D">
        <w:rPr>
          <w:sz w:val="22"/>
        </w:rPr>
        <w:t>We don't think that the analog beamforming may change the scattering environment. Therefore, the arrival timing of the first path should be the same among beams, and</w:t>
      </w:r>
      <w:r w:rsidR="00E45F72">
        <w:rPr>
          <w:sz w:val="22"/>
        </w:rPr>
        <w:t xml:space="preserve"> path power could be </w:t>
      </w:r>
      <w:r w:rsidR="00F4481D">
        <w:rPr>
          <w:sz w:val="22"/>
        </w:rPr>
        <w:t>differen</w:t>
      </w:r>
      <w:r w:rsidR="00E45F72">
        <w:rPr>
          <w:sz w:val="22"/>
        </w:rPr>
        <w:t>t among beams</w:t>
      </w:r>
      <w:r w:rsidR="00F4481D">
        <w:rPr>
          <w:sz w:val="22"/>
        </w:rPr>
        <w:t>.</w:t>
      </w:r>
    </w:p>
    <w:p w:rsidR="00803688" w:rsidRDefault="00803688" w:rsidP="00C832C0">
      <w:pPr>
        <w:jc w:val="both"/>
        <w:rPr>
          <w:sz w:val="22"/>
          <w:lang w:val="en-GB"/>
        </w:rPr>
      </w:pPr>
    </w:p>
    <w:p w:rsidR="00803688" w:rsidRDefault="00803688" w:rsidP="00C832C0">
      <w:pPr>
        <w:jc w:val="both"/>
        <w:rPr>
          <w:sz w:val="22"/>
          <w:lang w:val="en-GB"/>
        </w:rPr>
      </w:pPr>
    </w:p>
    <w:p w:rsidR="0007547E" w:rsidRPr="00890549" w:rsidRDefault="003A25F8" w:rsidP="00C832C0">
      <w:pPr>
        <w:jc w:val="both"/>
        <w:rPr>
          <w:sz w:val="20"/>
          <w:szCs w:val="20"/>
          <w:lang w:val="en-GB"/>
        </w:rPr>
      </w:pPr>
      <w:r w:rsidRPr="00890549">
        <w:rPr>
          <w:rFonts w:hint="eastAsia"/>
          <w:b/>
          <w:sz w:val="20"/>
          <w:szCs w:val="20"/>
          <w:lang w:val="en-GB"/>
        </w:rPr>
        <w:t>Proposal 2-1</w:t>
      </w:r>
      <w:r w:rsidRPr="00890549">
        <w:rPr>
          <w:rFonts w:hint="eastAsia"/>
          <w:sz w:val="20"/>
          <w:szCs w:val="20"/>
          <w:lang w:val="en-GB"/>
        </w:rPr>
        <w:t xml:space="preserve">: </w:t>
      </w:r>
      <w:r w:rsidR="0035043D" w:rsidRPr="00890549">
        <w:rPr>
          <w:sz w:val="20"/>
          <w:szCs w:val="20"/>
          <w:lang w:val="en-GB"/>
        </w:rPr>
        <w:t xml:space="preserve">It is preferred to have a table provided by each TRP </w:t>
      </w:r>
      <w:r w:rsidR="0007547E" w:rsidRPr="00890549">
        <w:rPr>
          <w:sz w:val="20"/>
          <w:szCs w:val="20"/>
          <w:lang w:val="en-GB"/>
        </w:rPr>
        <w:t>which may characterize all the beam responses (EIRP) for covering a range of angles. The table is like a look-up table when UE reports a number of differential RSRP values</w:t>
      </w:r>
      <w:r w:rsidR="00E45F72" w:rsidRPr="00890549">
        <w:rPr>
          <w:sz w:val="20"/>
          <w:szCs w:val="20"/>
          <w:lang w:val="en-GB"/>
        </w:rPr>
        <w:t xml:space="preserve"> for finding the angle between a TRP </w:t>
      </w:r>
      <w:r w:rsidR="0065790E" w:rsidRPr="00890549">
        <w:rPr>
          <w:sz w:val="20"/>
          <w:szCs w:val="20"/>
          <w:lang w:val="en-GB"/>
        </w:rPr>
        <w:t>and</w:t>
      </w:r>
      <w:r w:rsidR="00E45F72" w:rsidRPr="00890549">
        <w:rPr>
          <w:sz w:val="20"/>
          <w:szCs w:val="20"/>
          <w:lang w:val="en-GB"/>
        </w:rPr>
        <w:t xml:space="preserve"> UE</w:t>
      </w:r>
    </w:p>
    <w:p w:rsidR="00845942" w:rsidRPr="00890549" w:rsidRDefault="00845942" w:rsidP="00C832C0">
      <w:pPr>
        <w:jc w:val="both"/>
        <w:rPr>
          <w:sz w:val="20"/>
          <w:szCs w:val="20"/>
          <w:lang w:val="en-GB"/>
        </w:rPr>
      </w:pPr>
    </w:p>
    <w:p w:rsidR="00845942" w:rsidRPr="00890549" w:rsidRDefault="00845942" w:rsidP="00C832C0">
      <w:pPr>
        <w:jc w:val="both"/>
        <w:rPr>
          <w:sz w:val="20"/>
          <w:szCs w:val="20"/>
          <w:lang w:val="en-GB"/>
        </w:rPr>
      </w:pPr>
      <w:r w:rsidRPr="00890549">
        <w:rPr>
          <w:b/>
          <w:sz w:val="20"/>
          <w:szCs w:val="20"/>
          <w:lang w:val="en-GB"/>
        </w:rPr>
        <w:t>Proposal 2-2</w:t>
      </w:r>
      <w:r w:rsidRPr="00890549">
        <w:rPr>
          <w:sz w:val="20"/>
          <w:szCs w:val="20"/>
          <w:lang w:val="en-GB"/>
        </w:rPr>
        <w:t>:</w:t>
      </w:r>
      <w:r w:rsidR="00180555" w:rsidRPr="00890549">
        <w:rPr>
          <w:sz w:val="20"/>
          <w:szCs w:val="20"/>
          <w:lang w:val="en-GB"/>
        </w:rPr>
        <w:t xml:space="preserve"> A look-up table with differential EIRP across beams for a range of angles could also be considered</w:t>
      </w:r>
    </w:p>
    <w:p w:rsidR="0007547E" w:rsidRPr="00890549" w:rsidRDefault="0007547E" w:rsidP="00C832C0">
      <w:pPr>
        <w:jc w:val="both"/>
        <w:rPr>
          <w:sz w:val="20"/>
          <w:szCs w:val="20"/>
          <w:lang w:val="en-GB"/>
        </w:rPr>
      </w:pPr>
    </w:p>
    <w:p w:rsidR="00803688" w:rsidRPr="00890549" w:rsidRDefault="00E45F72" w:rsidP="00C832C0">
      <w:pPr>
        <w:jc w:val="both"/>
        <w:rPr>
          <w:sz w:val="20"/>
          <w:szCs w:val="20"/>
          <w:lang w:val="en-GB"/>
        </w:rPr>
      </w:pPr>
      <w:r w:rsidRPr="00890549">
        <w:rPr>
          <w:b/>
          <w:sz w:val="20"/>
          <w:szCs w:val="20"/>
          <w:lang w:val="en-GB"/>
        </w:rPr>
        <w:t>Proposal 2-</w:t>
      </w:r>
      <w:r w:rsidR="00845942" w:rsidRPr="00890549">
        <w:rPr>
          <w:b/>
          <w:sz w:val="20"/>
          <w:szCs w:val="20"/>
          <w:lang w:val="en-GB"/>
        </w:rPr>
        <w:t>3</w:t>
      </w:r>
      <w:r w:rsidRPr="00890549">
        <w:rPr>
          <w:sz w:val="20"/>
          <w:szCs w:val="20"/>
          <w:lang w:val="en-GB"/>
        </w:rPr>
        <w:t>:</w:t>
      </w:r>
      <w:r w:rsidR="0007547E" w:rsidRPr="00890549">
        <w:rPr>
          <w:sz w:val="20"/>
          <w:szCs w:val="20"/>
          <w:lang w:val="en-GB"/>
        </w:rPr>
        <w:t xml:space="preserve"> </w:t>
      </w:r>
      <w:r w:rsidR="004B51E4" w:rsidRPr="00890549">
        <w:rPr>
          <w:sz w:val="20"/>
          <w:szCs w:val="20"/>
          <w:lang w:val="en-GB"/>
        </w:rPr>
        <w:t>T</w:t>
      </w:r>
      <w:r w:rsidR="008B3673" w:rsidRPr="00890549">
        <w:rPr>
          <w:sz w:val="20"/>
          <w:szCs w:val="20"/>
          <w:lang w:val="en-GB"/>
        </w:rPr>
        <w:t xml:space="preserve">he RSRP measurement may </w:t>
      </w:r>
      <w:r w:rsidR="004B51E4" w:rsidRPr="00890549">
        <w:rPr>
          <w:sz w:val="20"/>
          <w:szCs w:val="20"/>
          <w:lang w:val="en-GB"/>
        </w:rPr>
        <w:t>support the single path RSRP measurement</w:t>
      </w:r>
      <w:r w:rsidR="00342F71" w:rsidRPr="00890549">
        <w:rPr>
          <w:sz w:val="20"/>
          <w:szCs w:val="20"/>
          <w:lang w:val="en-GB"/>
        </w:rPr>
        <w:t>. Therefore, new RSRP measurement definition could be needed</w:t>
      </w:r>
    </w:p>
    <w:p w:rsidR="00803688" w:rsidRPr="00890549" w:rsidRDefault="00803688" w:rsidP="00C832C0">
      <w:pPr>
        <w:jc w:val="both"/>
        <w:rPr>
          <w:sz w:val="20"/>
          <w:szCs w:val="20"/>
          <w:lang w:val="en-GB"/>
        </w:rPr>
      </w:pPr>
    </w:p>
    <w:p w:rsidR="00A43FD4" w:rsidRPr="00890549" w:rsidRDefault="00A43FD4" w:rsidP="00C832C0">
      <w:pPr>
        <w:jc w:val="both"/>
        <w:rPr>
          <w:sz w:val="20"/>
          <w:szCs w:val="20"/>
          <w:lang w:val="en-GB"/>
        </w:rPr>
      </w:pPr>
      <w:r w:rsidRPr="00890549">
        <w:rPr>
          <w:rFonts w:hint="eastAsia"/>
          <w:b/>
          <w:sz w:val="20"/>
          <w:szCs w:val="20"/>
          <w:lang w:val="en-GB"/>
        </w:rPr>
        <w:t>Observation 2-1</w:t>
      </w:r>
      <w:r w:rsidRPr="00890549">
        <w:rPr>
          <w:rFonts w:hint="eastAsia"/>
          <w:sz w:val="20"/>
          <w:szCs w:val="20"/>
          <w:lang w:val="en-GB"/>
        </w:rPr>
        <w:t xml:space="preserve">: </w:t>
      </w:r>
      <w:r w:rsidRPr="00890549">
        <w:rPr>
          <w:sz w:val="20"/>
          <w:szCs w:val="20"/>
          <w:lang w:val="en-GB" w:eastAsia="en-US"/>
        </w:rPr>
        <w:t>The beam information In TS 38.455 is just the steering direction of each beam</w:t>
      </w:r>
    </w:p>
    <w:p w:rsidR="00A43FD4" w:rsidRPr="00890549" w:rsidRDefault="00A43FD4" w:rsidP="00C832C0">
      <w:pPr>
        <w:jc w:val="both"/>
        <w:rPr>
          <w:sz w:val="20"/>
          <w:szCs w:val="20"/>
          <w:lang w:val="en-GB"/>
        </w:rPr>
      </w:pPr>
    </w:p>
    <w:p w:rsidR="00B14337" w:rsidRDefault="00B14337" w:rsidP="00C832C0">
      <w:pPr>
        <w:jc w:val="both"/>
        <w:rPr>
          <w:sz w:val="20"/>
          <w:szCs w:val="20"/>
        </w:rPr>
      </w:pPr>
      <w:r w:rsidRPr="00890549">
        <w:rPr>
          <w:b/>
          <w:sz w:val="20"/>
          <w:szCs w:val="20"/>
          <w:lang w:val="en-GB"/>
        </w:rPr>
        <w:t>Observation 2-</w:t>
      </w:r>
      <w:r w:rsidR="00A43FD4" w:rsidRPr="00890549">
        <w:rPr>
          <w:b/>
          <w:sz w:val="20"/>
          <w:szCs w:val="20"/>
          <w:lang w:val="en-GB"/>
        </w:rPr>
        <w:t>2</w:t>
      </w:r>
      <w:r w:rsidRPr="00890549">
        <w:rPr>
          <w:sz w:val="20"/>
          <w:szCs w:val="20"/>
          <w:lang w:val="en-GB"/>
        </w:rPr>
        <w:t xml:space="preserve">: The measurement window containing </w:t>
      </w:r>
      <w:r w:rsidRPr="00890549">
        <w:rPr>
          <w:sz w:val="20"/>
          <w:szCs w:val="20"/>
        </w:rPr>
        <w:t xml:space="preserve">the first path in each beam </w:t>
      </w:r>
      <w:r w:rsidR="004F3A2E" w:rsidRPr="00890549">
        <w:rPr>
          <w:sz w:val="20"/>
          <w:szCs w:val="20"/>
        </w:rPr>
        <w:t xml:space="preserve">is expected </w:t>
      </w:r>
      <w:r w:rsidRPr="00890549">
        <w:rPr>
          <w:sz w:val="20"/>
          <w:szCs w:val="20"/>
        </w:rPr>
        <w:t>to be identical. Simulation shows that a fixed measurement window across beams provides better performance than dynamic measurement window</w:t>
      </w:r>
      <w:r w:rsidR="003E613D" w:rsidRPr="00890549">
        <w:rPr>
          <w:sz w:val="20"/>
          <w:szCs w:val="20"/>
        </w:rPr>
        <w:t>. It is because the arrival timing of the first path basically is the same among beams</w:t>
      </w:r>
      <w:r w:rsidR="0034635B" w:rsidRPr="00890549">
        <w:rPr>
          <w:sz w:val="20"/>
          <w:szCs w:val="20"/>
        </w:rPr>
        <w:t>, and path power could be different among beams</w:t>
      </w:r>
    </w:p>
    <w:p w:rsidR="00890549" w:rsidRPr="00890549" w:rsidRDefault="00890549" w:rsidP="00C832C0">
      <w:pPr>
        <w:jc w:val="both"/>
        <w:rPr>
          <w:sz w:val="20"/>
          <w:szCs w:val="20"/>
        </w:rPr>
      </w:pPr>
    </w:p>
    <w:p w:rsidR="003B6B26" w:rsidRDefault="00CA02AD" w:rsidP="00CA02AD">
      <w:pPr>
        <w:jc w:val="center"/>
        <w:rPr>
          <w:sz w:val="22"/>
          <w:lang w:val="en-GB" w:eastAsia="en-US"/>
        </w:rPr>
      </w:pPr>
      <w:r>
        <w:rPr>
          <w:noProof/>
          <w:sz w:val="22"/>
        </w:rPr>
        <w:lastRenderedPageBreak/>
        <w:drawing>
          <wp:inline distT="0" distB="0" distL="0" distR="0">
            <wp:extent cx="2851200" cy="4035600"/>
            <wp:effectExtent l="0" t="0" r="635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od.jpg"/>
                    <pic:cNvPicPr/>
                  </pic:nvPicPr>
                  <pic:blipFill>
                    <a:blip r:embed="rId8">
                      <a:extLst>
                        <a:ext uri="{28A0092B-C50C-407E-A947-70E740481C1C}">
                          <a14:useLocalDpi xmlns:a14="http://schemas.microsoft.com/office/drawing/2010/main" val="0"/>
                        </a:ext>
                      </a:extLst>
                    </a:blip>
                    <a:stretch>
                      <a:fillRect/>
                    </a:stretch>
                  </pic:blipFill>
                  <pic:spPr>
                    <a:xfrm>
                      <a:off x="0" y="0"/>
                      <a:ext cx="2851200" cy="4035600"/>
                    </a:xfrm>
                    <a:prstGeom prst="rect">
                      <a:avLst/>
                    </a:prstGeom>
                  </pic:spPr>
                </pic:pic>
              </a:graphicData>
            </a:graphic>
          </wp:inline>
        </w:drawing>
      </w:r>
    </w:p>
    <w:p w:rsidR="003B6B26" w:rsidRPr="00CA02AD" w:rsidRDefault="00CA02AD" w:rsidP="00CA02AD">
      <w:pPr>
        <w:jc w:val="center"/>
        <w:rPr>
          <w:sz w:val="20"/>
          <w:szCs w:val="20"/>
          <w:lang w:val="en-GB" w:eastAsia="en-US"/>
        </w:rPr>
      </w:pPr>
      <w:r w:rsidRPr="00CA02AD">
        <w:rPr>
          <w:rFonts w:hint="eastAsia"/>
          <w:sz w:val="20"/>
          <w:szCs w:val="20"/>
          <w:lang w:val="en-GB" w:eastAsia="en-US"/>
        </w:rPr>
        <w:t xml:space="preserve">Fig. 2-1: </w:t>
      </w:r>
      <w:r w:rsidRPr="00CA02AD">
        <w:rPr>
          <w:sz w:val="20"/>
          <w:szCs w:val="20"/>
          <w:lang w:val="en-GB" w:eastAsia="en-US"/>
        </w:rPr>
        <w:t>multiple-</w:t>
      </w:r>
      <w:r w:rsidRPr="00CA02AD">
        <w:rPr>
          <w:rFonts w:hint="eastAsia"/>
          <w:sz w:val="20"/>
          <w:szCs w:val="20"/>
          <w:lang w:val="en-GB" w:eastAsia="en-US"/>
        </w:rPr>
        <w:t>beam response (EIRP</w:t>
      </w:r>
      <w:r w:rsidRPr="00CA02AD">
        <w:rPr>
          <w:sz w:val="20"/>
          <w:szCs w:val="20"/>
          <w:lang w:val="en-GB" w:eastAsia="en-US"/>
        </w:rPr>
        <w:t>) in terms of horizontal direction</w:t>
      </w:r>
    </w:p>
    <w:p w:rsidR="003B6B26" w:rsidRDefault="003B6B26" w:rsidP="00D21862">
      <w:pPr>
        <w:jc w:val="both"/>
        <w:rPr>
          <w:sz w:val="22"/>
          <w:lang w:val="en-GB" w:eastAsia="en-US"/>
        </w:rPr>
      </w:pPr>
    </w:p>
    <w:p w:rsidR="00D62313" w:rsidRDefault="00D62313" w:rsidP="00D21862">
      <w:pPr>
        <w:jc w:val="both"/>
        <w:rPr>
          <w:sz w:val="22"/>
          <w:lang w:val="en-GB" w:eastAsia="en-US"/>
        </w:rPr>
      </w:pPr>
    </w:p>
    <w:p w:rsidR="00D62313" w:rsidRDefault="00D62313" w:rsidP="00D62313">
      <w:pPr>
        <w:jc w:val="center"/>
        <w:rPr>
          <w:sz w:val="22"/>
          <w:lang w:val="en-GB" w:eastAsia="en-US"/>
        </w:rPr>
      </w:pPr>
      <w:r>
        <w:rPr>
          <w:noProof/>
        </w:rPr>
        <w:drawing>
          <wp:inline distT="0" distB="0" distL="0" distR="0" wp14:anchorId="6D9BB316" wp14:editId="6A74F97F">
            <wp:extent cx="5148263" cy="3519805"/>
            <wp:effectExtent l="0" t="0" r="0" b="4445"/>
            <wp:docPr id="1026"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 descr="image0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8263" cy="3519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D62313" w:rsidRDefault="00D62313" w:rsidP="00D62313">
      <w:pPr>
        <w:jc w:val="center"/>
        <w:rPr>
          <w:sz w:val="22"/>
          <w:lang w:val="en-GB" w:eastAsia="en-US"/>
        </w:rPr>
      </w:pPr>
      <w:r>
        <w:rPr>
          <w:rFonts w:hint="eastAsia"/>
          <w:sz w:val="22"/>
          <w:lang w:val="en-GB" w:eastAsia="en-US"/>
        </w:rPr>
        <w:t>Fig. 2-2:</w:t>
      </w:r>
      <w:r>
        <w:rPr>
          <w:sz w:val="22"/>
          <w:lang w:val="en-GB" w:eastAsia="en-US"/>
        </w:rPr>
        <w:t xml:space="preserve"> In TS 38.455</w:t>
      </w:r>
    </w:p>
    <w:p w:rsidR="00D62313" w:rsidRDefault="00D62313" w:rsidP="00D21862">
      <w:pPr>
        <w:jc w:val="both"/>
        <w:rPr>
          <w:sz w:val="22"/>
          <w:lang w:val="en-GB" w:eastAsia="en-US"/>
        </w:rPr>
      </w:pPr>
    </w:p>
    <w:p w:rsidR="00D62313" w:rsidRDefault="00D62313" w:rsidP="00D21862">
      <w:pPr>
        <w:jc w:val="both"/>
        <w:rPr>
          <w:sz w:val="22"/>
          <w:lang w:val="en-GB" w:eastAsia="en-US"/>
        </w:rPr>
      </w:pPr>
    </w:p>
    <w:p w:rsidR="00D62313" w:rsidRDefault="001F7491" w:rsidP="001F7491">
      <w:pPr>
        <w:jc w:val="center"/>
        <w:rPr>
          <w:sz w:val="22"/>
          <w:lang w:val="en-GB" w:eastAsia="en-US"/>
        </w:rPr>
      </w:pPr>
      <w:r>
        <w:rPr>
          <w:noProof/>
        </w:rPr>
        <w:lastRenderedPageBreak/>
        <w:drawing>
          <wp:inline distT="0" distB="0" distL="0" distR="0" wp14:anchorId="4DF0A2BB" wp14:editId="239FC4A4">
            <wp:extent cx="3108960" cy="262432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od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8960" cy="2624328"/>
                    </a:xfrm>
                    <a:prstGeom prst="rect">
                      <a:avLst/>
                    </a:prstGeom>
                  </pic:spPr>
                </pic:pic>
              </a:graphicData>
            </a:graphic>
          </wp:inline>
        </w:drawing>
      </w:r>
    </w:p>
    <w:p w:rsidR="001F7491" w:rsidRPr="001F7491" w:rsidRDefault="001F7491" w:rsidP="001F7491">
      <w:pPr>
        <w:jc w:val="center"/>
        <w:rPr>
          <w:sz w:val="20"/>
          <w:szCs w:val="20"/>
          <w:lang w:val="en-GB" w:eastAsia="en-US"/>
        </w:rPr>
      </w:pPr>
      <w:r w:rsidRPr="001F7491">
        <w:rPr>
          <w:rFonts w:hint="eastAsia"/>
          <w:sz w:val="20"/>
          <w:szCs w:val="20"/>
          <w:lang w:val="en-GB" w:eastAsia="en-US"/>
        </w:rPr>
        <w:t xml:space="preserve">Fig. 2-3, </w:t>
      </w:r>
      <w:r w:rsidRPr="001F7491">
        <w:rPr>
          <w:sz w:val="20"/>
          <w:szCs w:val="20"/>
          <w:lang w:val="en-GB" w:eastAsia="en-US"/>
        </w:rPr>
        <w:t>example of measured CIR among beams</w:t>
      </w:r>
    </w:p>
    <w:p w:rsidR="001F7491" w:rsidRDefault="001F7491" w:rsidP="001F7491">
      <w:pPr>
        <w:jc w:val="center"/>
        <w:rPr>
          <w:sz w:val="22"/>
          <w:lang w:val="en-GB" w:eastAsia="en-US"/>
        </w:rPr>
      </w:pPr>
    </w:p>
    <w:p w:rsidR="001F7491" w:rsidRDefault="00FD75AD" w:rsidP="001F7491">
      <w:pPr>
        <w:jc w:val="center"/>
        <w:rPr>
          <w:sz w:val="22"/>
          <w:lang w:val="en-GB" w:eastAsia="en-US"/>
        </w:rPr>
      </w:pPr>
      <w:r>
        <w:rPr>
          <w:noProof/>
        </w:rPr>
        <w:drawing>
          <wp:inline distT="0" distB="0" distL="0" distR="0" wp14:anchorId="386745F9" wp14:editId="6CF44137">
            <wp:extent cx="3072384" cy="24597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od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72384" cy="2459736"/>
                    </a:xfrm>
                    <a:prstGeom prst="rect">
                      <a:avLst/>
                    </a:prstGeom>
                  </pic:spPr>
                </pic:pic>
              </a:graphicData>
            </a:graphic>
          </wp:inline>
        </w:drawing>
      </w:r>
    </w:p>
    <w:p w:rsidR="00FD75AD" w:rsidRPr="001F7491" w:rsidRDefault="00FD75AD" w:rsidP="00FD75AD">
      <w:pPr>
        <w:jc w:val="center"/>
        <w:rPr>
          <w:sz w:val="20"/>
          <w:szCs w:val="20"/>
          <w:lang w:val="en-GB" w:eastAsia="en-US"/>
        </w:rPr>
      </w:pPr>
      <w:r w:rsidRPr="001F7491">
        <w:rPr>
          <w:rFonts w:hint="eastAsia"/>
          <w:sz w:val="20"/>
          <w:szCs w:val="20"/>
          <w:lang w:val="en-GB" w:eastAsia="en-US"/>
        </w:rPr>
        <w:t>Fig. 2-</w:t>
      </w:r>
      <w:r>
        <w:rPr>
          <w:sz w:val="20"/>
          <w:szCs w:val="20"/>
          <w:lang w:val="en-GB" w:eastAsia="en-US"/>
        </w:rPr>
        <w:t>4</w:t>
      </w:r>
      <w:r w:rsidRPr="001F7491">
        <w:rPr>
          <w:rFonts w:hint="eastAsia"/>
          <w:sz w:val="20"/>
          <w:szCs w:val="20"/>
          <w:lang w:val="en-GB" w:eastAsia="en-US"/>
        </w:rPr>
        <w:t xml:space="preserve">, </w:t>
      </w:r>
      <w:r>
        <w:rPr>
          <w:sz w:val="20"/>
          <w:szCs w:val="20"/>
          <w:lang w:val="en-GB" w:eastAsia="en-US"/>
        </w:rPr>
        <w:t>accuracy comparison when first path RSRP is measured</w:t>
      </w:r>
    </w:p>
    <w:p w:rsidR="00D62313" w:rsidRPr="00D21862" w:rsidRDefault="00D62313" w:rsidP="00D21862">
      <w:pPr>
        <w:jc w:val="both"/>
        <w:rPr>
          <w:sz w:val="22"/>
          <w:lang w:val="en-GB" w:eastAsia="en-US"/>
        </w:rPr>
      </w:pPr>
    </w:p>
    <w:p w:rsidR="00BF102C" w:rsidRDefault="005D5A17" w:rsidP="00397100">
      <w:pPr>
        <w:pStyle w:val="Heading1"/>
        <w:spacing w:before="0" w:after="120"/>
        <w:ind w:left="1138" w:hanging="1138"/>
        <w:rPr>
          <w:sz w:val="32"/>
          <w:szCs w:val="32"/>
        </w:rPr>
      </w:pPr>
      <w:r>
        <w:rPr>
          <w:sz w:val="32"/>
          <w:szCs w:val="32"/>
        </w:rPr>
        <w:t>3</w:t>
      </w:r>
      <w:r w:rsidR="001C43DE" w:rsidRPr="001C43DE">
        <w:rPr>
          <w:sz w:val="32"/>
          <w:szCs w:val="32"/>
        </w:rPr>
        <w:t xml:space="preserve"> Conclusion</w:t>
      </w:r>
    </w:p>
    <w:p w:rsidR="00B5445D" w:rsidRPr="00B5445D" w:rsidRDefault="00B5445D" w:rsidP="00B5445D">
      <w:pPr>
        <w:jc w:val="both"/>
        <w:rPr>
          <w:sz w:val="20"/>
          <w:szCs w:val="20"/>
          <w:lang w:val="en-GB"/>
        </w:rPr>
      </w:pPr>
      <w:r w:rsidRPr="00B5445D">
        <w:rPr>
          <w:rFonts w:hint="eastAsia"/>
          <w:b/>
          <w:sz w:val="20"/>
          <w:szCs w:val="20"/>
          <w:lang w:val="en-GB"/>
        </w:rPr>
        <w:t>Proposal 2-1</w:t>
      </w:r>
      <w:r w:rsidRPr="00B5445D">
        <w:rPr>
          <w:rFonts w:hint="eastAsia"/>
          <w:sz w:val="20"/>
          <w:szCs w:val="20"/>
          <w:lang w:val="en-GB"/>
        </w:rPr>
        <w:t xml:space="preserve">: </w:t>
      </w:r>
      <w:r w:rsidRPr="00B5445D">
        <w:rPr>
          <w:sz w:val="20"/>
          <w:szCs w:val="20"/>
          <w:lang w:val="en-GB"/>
        </w:rPr>
        <w:t>It is preferred to have a table provided by each TRP which may characterize all the beam responses (EIRP) for covering a range of angles. The table is like a look-up table when UE reports a number of differential RSRP values for finding the angle between a TRP and UE</w:t>
      </w:r>
    </w:p>
    <w:p w:rsidR="00B5445D" w:rsidRPr="00B5445D" w:rsidRDefault="00B5445D" w:rsidP="00B5445D">
      <w:pPr>
        <w:jc w:val="both"/>
        <w:rPr>
          <w:sz w:val="20"/>
          <w:szCs w:val="20"/>
          <w:lang w:val="en-GB"/>
        </w:rPr>
      </w:pPr>
    </w:p>
    <w:p w:rsidR="00B5445D" w:rsidRPr="00B5445D" w:rsidRDefault="00B5445D" w:rsidP="00B5445D">
      <w:pPr>
        <w:jc w:val="both"/>
        <w:rPr>
          <w:sz w:val="20"/>
          <w:szCs w:val="20"/>
          <w:lang w:val="en-GB"/>
        </w:rPr>
      </w:pPr>
      <w:r w:rsidRPr="00B5445D">
        <w:rPr>
          <w:b/>
          <w:sz w:val="20"/>
          <w:szCs w:val="20"/>
          <w:lang w:val="en-GB"/>
        </w:rPr>
        <w:t>Proposal 2-2</w:t>
      </w:r>
      <w:r w:rsidRPr="00B5445D">
        <w:rPr>
          <w:sz w:val="20"/>
          <w:szCs w:val="20"/>
          <w:lang w:val="en-GB"/>
        </w:rPr>
        <w:t>: A look-up table with differential EIRP across beams for a range of angles could also be considered</w:t>
      </w:r>
    </w:p>
    <w:p w:rsidR="00B5445D" w:rsidRPr="00B5445D" w:rsidRDefault="00B5445D" w:rsidP="00B5445D">
      <w:pPr>
        <w:jc w:val="both"/>
        <w:rPr>
          <w:sz w:val="20"/>
          <w:szCs w:val="20"/>
          <w:lang w:val="en-GB"/>
        </w:rPr>
      </w:pPr>
    </w:p>
    <w:p w:rsidR="00B5445D" w:rsidRPr="00B5445D" w:rsidRDefault="00B5445D" w:rsidP="00B5445D">
      <w:pPr>
        <w:jc w:val="both"/>
        <w:rPr>
          <w:sz w:val="20"/>
          <w:szCs w:val="20"/>
          <w:lang w:val="en-GB"/>
        </w:rPr>
      </w:pPr>
      <w:r w:rsidRPr="00B5445D">
        <w:rPr>
          <w:b/>
          <w:sz w:val="20"/>
          <w:szCs w:val="20"/>
          <w:lang w:val="en-GB"/>
        </w:rPr>
        <w:t>Proposal 2-3</w:t>
      </w:r>
      <w:r w:rsidRPr="00B5445D">
        <w:rPr>
          <w:sz w:val="20"/>
          <w:szCs w:val="20"/>
          <w:lang w:val="en-GB"/>
        </w:rPr>
        <w:t>: The RSRP measurement may support the single path RSRP measurement. Therefore, new RSRP measurement definition could be needed</w:t>
      </w:r>
    </w:p>
    <w:p w:rsidR="00B5445D" w:rsidRPr="00B5445D" w:rsidRDefault="00B5445D" w:rsidP="00B5445D">
      <w:pPr>
        <w:jc w:val="both"/>
        <w:rPr>
          <w:sz w:val="20"/>
          <w:szCs w:val="20"/>
          <w:lang w:val="en-GB"/>
        </w:rPr>
      </w:pPr>
    </w:p>
    <w:p w:rsidR="00B5445D" w:rsidRPr="00B5445D" w:rsidRDefault="00B5445D" w:rsidP="00B5445D">
      <w:pPr>
        <w:jc w:val="both"/>
        <w:rPr>
          <w:sz w:val="20"/>
          <w:szCs w:val="20"/>
          <w:lang w:val="en-GB"/>
        </w:rPr>
      </w:pPr>
      <w:r w:rsidRPr="00B5445D">
        <w:rPr>
          <w:rFonts w:hint="eastAsia"/>
          <w:b/>
          <w:sz w:val="20"/>
          <w:szCs w:val="20"/>
          <w:lang w:val="en-GB"/>
        </w:rPr>
        <w:t>Observation 2-1</w:t>
      </w:r>
      <w:r w:rsidRPr="00B5445D">
        <w:rPr>
          <w:rFonts w:hint="eastAsia"/>
          <w:sz w:val="20"/>
          <w:szCs w:val="20"/>
          <w:lang w:val="en-GB"/>
        </w:rPr>
        <w:t xml:space="preserve">: </w:t>
      </w:r>
      <w:r w:rsidRPr="00B5445D">
        <w:rPr>
          <w:sz w:val="20"/>
          <w:szCs w:val="20"/>
          <w:lang w:val="en-GB" w:eastAsia="en-US"/>
        </w:rPr>
        <w:t>The beam information In TS 38.455 is just the steering direction of each beam</w:t>
      </w:r>
    </w:p>
    <w:p w:rsidR="00B5445D" w:rsidRPr="00B5445D" w:rsidRDefault="00B5445D" w:rsidP="00B5445D">
      <w:pPr>
        <w:jc w:val="both"/>
        <w:rPr>
          <w:sz w:val="20"/>
          <w:szCs w:val="20"/>
          <w:lang w:val="en-GB"/>
        </w:rPr>
      </w:pPr>
    </w:p>
    <w:p w:rsidR="00B5445D" w:rsidRDefault="00B5445D" w:rsidP="00B5445D">
      <w:pPr>
        <w:jc w:val="both"/>
        <w:rPr>
          <w:sz w:val="20"/>
          <w:szCs w:val="20"/>
        </w:rPr>
      </w:pPr>
      <w:r w:rsidRPr="00B5445D">
        <w:rPr>
          <w:b/>
          <w:sz w:val="20"/>
          <w:szCs w:val="20"/>
          <w:lang w:val="en-GB"/>
        </w:rPr>
        <w:t>Observation 2-2</w:t>
      </w:r>
      <w:r w:rsidRPr="00B5445D">
        <w:rPr>
          <w:sz w:val="20"/>
          <w:szCs w:val="20"/>
          <w:lang w:val="en-GB"/>
        </w:rPr>
        <w:t xml:space="preserve">: The measurement window containing </w:t>
      </w:r>
      <w:r w:rsidRPr="00B5445D">
        <w:rPr>
          <w:sz w:val="20"/>
          <w:szCs w:val="20"/>
        </w:rPr>
        <w:t>the first path in each beam is expected to be identical. Simulation shows that a fixed measurement window across beams provides better performance than dynamic measurement window. It is because the arrival timing of the first path basically is the same among beams, and path power could be different among beams</w:t>
      </w:r>
    </w:p>
    <w:p w:rsidR="003F6CB5" w:rsidRPr="00B5445D" w:rsidRDefault="003F6CB5" w:rsidP="00B5445D">
      <w:pPr>
        <w:jc w:val="both"/>
        <w:rPr>
          <w:sz w:val="20"/>
          <w:szCs w:val="20"/>
        </w:rPr>
      </w:pPr>
    </w:p>
    <w:sectPr w:rsidR="003F6CB5" w:rsidRPr="00B5445D"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60F" w:rsidRDefault="0027060F">
      <w:r>
        <w:separator/>
      </w:r>
    </w:p>
  </w:endnote>
  <w:endnote w:type="continuationSeparator" w:id="0">
    <w:p w:rsidR="0027060F" w:rsidRDefault="0027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60F" w:rsidRDefault="0027060F">
      <w:r>
        <w:separator/>
      </w:r>
    </w:p>
  </w:footnote>
  <w:footnote w:type="continuationSeparator" w:id="0">
    <w:p w:rsidR="0027060F" w:rsidRDefault="00270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CC2173"/>
    <w:multiLevelType w:val="hybridMultilevel"/>
    <w:tmpl w:val="D11A7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C486C"/>
    <w:multiLevelType w:val="hybridMultilevel"/>
    <w:tmpl w:val="137CE0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0E61CF7"/>
    <w:multiLevelType w:val="hybridMultilevel"/>
    <w:tmpl w:val="E18AE54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D0D5092"/>
    <w:multiLevelType w:val="hybridMultilevel"/>
    <w:tmpl w:val="267603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377074"/>
    <w:multiLevelType w:val="hybridMultilevel"/>
    <w:tmpl w:val="E90AB7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4E54CF2"/>
    <w:multiLevelType w:val="hybridMultilevel"/>
    <w:tmpl w:val="290C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06536"/>
    <w:multiLevelType w:val="hybridMultilevel"/>
    <w:tmpl w:val="0C4AB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DCF3FCF"/>
    <w:multiLevelType w:val="hybridMultilevel"/>
    <w:tmpl w:val="6E925940"/>
    <w:lvl w:ilvl="0" w:tplc="932EB7D8">
      <w:start w:val="1"/>
      <w:numFmt w:val="bullet"/>
      <w:lvlText w:val=""/>
      <w:lvlJc w:val="left"/>
      <w:pPr>
        <w:ind w:left="540" w:hanging="360"/>
      </w:pPr>
      <w:rPr>
        <w:rFonts w:ascii="Wingdings" w:eastAsiaTheme="minorEastAsia" w:hAnsi="Wingdings" w:cstheme="minorBidi" w:hint="default"/>
      </w:rPr>
    </w:lvl>
    <w:lvl w:ilvl="1" w:tplc="04090003" w:tentative="1">
      <w:start w:val="1"/>
      <w:numFmt w:val="bullet"/>
      <w:lvlText w:val=""/>
      <w:lvlJc w:val="left"/>
      <w:pPr>
        <w:ind w:left="1140" w:hanging="480"/>
      </w:pPr>
      <w:rPr>
        <w:rFonts w:ascii="Wingdings" w:hAnsi="Wingdings" w:hint="default"/>
      </w:rPr>
    </w:lvl>
    <w:lvl w:ilvl="2" w:tplc="04090005" w:tentative="1">
      <w:start w:val="1"/>
      <w:numFmt w:val="bullet"/>
      <w:lvlText w:val=""/>
      <w:lvlJc w:val="left"/>
      <w:pPr>
        <w:ind w:left="1620" w:hanging="480"/>
      </w:pPr>
      <w:rPr>
        <w:rFonts w:ascii="Wingdings" w:hAnsi="Wingdings" w:hint="default"/>
      </w:rPr>
    </w:lvl>
    <w:lvl w:ilvl="3" w:tplc="04090001" w:tentative="1">
      <w:start w:val="1"/>
      <w:numFmt w:val="bullet"/>
      <w:lvlText w:val=""/>
      <w:lvlJc w:val="left"/>
      <w:pPr>
        <w:ind w:left="2100" w:hanging="480"/>
      </w:pPr>
      <w:rPr>
        <w:rFonts w:ascii="Wingdings" w:hAnsi="Wingdings" w:hint="default"/>
      </w:rPr>
    </w:lvl>
    <w:lvl w:ilvl="4" w:tplc="04090003" w:tentative="1">
      <w:start w:val="1"/>
      <w:numFmt w:val="bullet"/>
      <w:lvlText w:val=""/>
      <w:lvlJc w:val="left"/>
      <w:pPr>
        <w:ind w:left="2580" w:hanging="480"/>
      </w:pPr>
      <w:rPr>
        <w:rFonts w:ascii="Wingdings" w:hAnsi="Wingdings" w:hint="default"/>
      </w:rPr>
    </w:lvl>
    <w:lvl w:ilvl="5" w:tplc="04090005" w:tentative="1">
      <w:start w:val="1"/>
      <w:numFmt w:val="bullet"/>
      <w:lvlText w:val=""/>
      <w:lvlJc w:val="left"/>
      <w:pPr>
        <w:ind w:left="3060" w:hanging="480"/>
      </w:pPr>
      <w:rPr>
        <w:rFonts w:ascii="Wingdings" w:hAnsi="Wingdings" w:hint="default"/>
      </w:rPr>
    </w:lvl>
    <w:lvl w:ilvl="6" w:tplc="04090001" w:tentative="1">
      <w:start w:val="1"/>
      <w:numFmt w:val="bullet"/>
      <w:lvlText w:val=""/>
      <w:lvlJc w:val="left"/>
      <w:pPr>
        <w:ind w:left="3540" w:hanging="480"/>
      </w:pPr>
      <w:rPr>
        <w:rFonts w:ascii="Wingdings" w:hAnsi="Wingdings" w:hint="default"/>
      </w:rPr>
    </w:lvl>
    <w:lvl w:ilvl="7" w:tplc="04090003" w:tentative="1">
      <w:start w:val="1"/>
      <w:numFmt w:val="bullet"/>
      <w:lvlText w:val=""/>
      <w:lvlJc w:val="left"/>
      <w:pPr>
        <w:ind w:left="4020" w:hanging="480"/>
      </w:pPr>
      <w:rPr>
        <w:rFonts w:ascii="Wingdings" w:hAnsi="Wingdings" w:hint="default"/>
      </w:rPr>
    </w:lvl>
    <w:lvl w:ilvl="8" w:tplc="04090005" w:tentative="1">
      <w:start w:val="1"/>
      <w:numFmt w:val="bullet"/>
      <w:lvlText w:val=""/>
      <w:lvlJc w:val="left"/>
      <w:pPr>
        <w:ind w:left="4500" w:hanging="480"/>
      </w:pPr>
      <w:rPr>
        <w:rFonts w:ascii="Wingdings" w:hAnsi="Wingdings" w:hint="default"/>
      </w:rPr>
    </w:lvl>
  </w:abstractNum>
  <w:abstractNum w:abstractNumId="1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86E92"/>
    <w:multiLevelType w:val="hybridMultilevel"/>
    <w:tmpl w:val="62F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357CBC"/>
    <w:multiLevelType w:val="hybridMultilevel"/>
    <w:tmpl w:val="26EA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5"/>
  </w:num>
  <w:num w:numId="4">
    <w:abstractNumId w:val="17"/>
  </w:num>
  <w:num w:numId="5">
    <w:abstractNumId w:val="12"/>
  </w:num>
  <w:num w:numId="6">
    <w:abstractNumId w:val="13"/>
  </w:num>
  <w:num w:numId="7">
    <w:abstractNumId w:val="8"/>
  </w:num>
  <w:num w:numId="8">
    <w:abstractNumId w:val="7"/>
  </w:num>
  <w:num w:numId="9">
    <w:abstractNumId w:val="1"/>
  </w:num>
  <w:num w:numId="10">
    <w:abstractNumId w:val="15"/>
  </w:num>
  <w:num w:numId="11">
    <w:abstractNumId w:val="0"/>
  </w:num>
  <w:num w:numId="12">
    <w:abstractNumId w:val="16"/>
  </w:num>
  <w:num w:numId="13">
    <w:abstractNumId w:val="6"/>
  </w:num>
  <w:num w:numId="14">
    <w:abstractNumId w:val="9"/>
  </w:num>
  <w:num w:numId="15">
    <w:abstractNumId w:val="4"/>
  </w:num>
  <w:num w:numId="16">
    <w:abstractNumId w:val="2"/>
  </w:num>
  <w:num w:numId="17">
    <w:abstractNumId w:val="10"/>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F89"/>
    <w:rsid w:val="000016F3"/>
    <w:rsid w:val="00001DBA"/>
    <w:rsid w:val="00001E20"/>
    <w:rsid w:val="00001EAF"/>
    <w:rsid w:val="00001F23"/>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4C13"/>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D18"/>
    <w:rsid w:val="00017EBE"/>
    <w:rsid w:val="00017EDA"/>
    <w:rsid w:val="000200CC"/>
    <w:rsid w:val="00020401"/>
    <w:rsid w:val="000204B4"/>
    <w:rsid w:val="00021057"/>
    <w:rsid w:val="00021243"/>
    <w:rsid w:val="0002142B"/>
    <w:rsid w:val="000214FB"/>
    <w:rsid w:val="0002157B"/>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EB"/>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17E"/>
    <w:rsid w:val="000571F7"/>
    <w:rsid w:val="000572F7"/>
    <w:rsid w:val="00057677"/>
    <w:rsid w:val="000576E5"/>
    <w:rsid w:val="00057AB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8F8"/>
    <w:rsid w:val="00064AD3"/>
    <w:rsid w:val="00064B34"/>
    <w:rsid w:val="00064E2A"/>
    <w:rsid w:val="00064F28"/>
    <w:rsid w:val="00064F8E"/>
    <w:rsid w:val="000651AE"/>
    <w:rsid w:val="00065300"/>
    <w:rsid w:val="0006530C"/>
    <w:rsid w:val="000654DA"/>
    <w:rsid w:val="00065792"/>
    <w:rsid w:val="00065841"/>
    <w:rsid w:val="00065CFB"/>
    <w:rsid w:val="000663AE"/>
    <w:rsid w:val="000664B9"/>
    <w:rsid w:val="0006680D"/>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2C4"/>
    <w:rsid w:val="00071489"/>
    <w:rsid w:val="00071875"/>
    <w:rsid w:val="00071CB4"/>
    <w:rsid w:val="00071CB5"/>
    <w:rsid w:val="00071CD0"/>
    <w:rsid w:val="00071CD5"/>
    <w:rsid w:val="00071D84"/>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7E"/>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0EF5"/>
    <w:rsid w:val="00091187"/>
    <w:rsid w:val="000911DF"/>
    <w:rsid w:val="00091754"/>
    <w:rsid w:val="00091F15"/>
    <w:rsid w:val="00091FDC"/>
    <w:rsid w:val="0009216C"/>
    <w:rsid w:val="0009217C"/>
    <w:rsid w:val="00092432"/>
    <w:rsid w:val="00092A9E"/>
    <w:rsid w:val="00092D18"/>
    <w:rsid w:val="00092EE2"/>
    <w:rsid w:val="0009343C"/>
    <w:rsid w:val="000938A5"/>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609"/>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CF7"/>
    <w:rsid w:val="000E0FD2"/>
    <w:rsid w:val="000E116F"/>
    <w:rsid w:val="000E1607"/>
    <w:rsid w:val="000E1A0E"/>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429E"/>
    <w:rsid w:val="001143E0"/>
    <w:rsid w:val="0011487F"/>
    <w:rsid w:val="00114A44"/>
    <w:rsid w:val="00114B12"/>
    <w:rsid w:val="00114C4D"/>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BB"/>
    <w:rsid w:val="00132CD2"/>
    <w:rsid w:val="0013350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9F8"/>
    <w:rsid w:val="00143A5F"/>
    <w:rsid w:val="001442F5"/>
    <w:rsid w:val="00144303"/>
    <w:rsid w:val="0014438C"/>
    <w:rsid w:val="0014452C"/>
    <w:rsid w:val="00144915"/>
    <w:rsid w:val="001451B1"/>
    <w:rsid w:val="00145208"/>
    <w:rsid w:val="001452F2"/>
    <w:rsid w:val="00145666"/>
    <w:rsid w:val="001456D4"/>
    <w:rsid w:val="00145AE5"/>
    <w:rsid w:val="00145DA2"/>
    <w:rsid w:val="00145E46"/>
    <w:rsid w:val="00146048"/>
    <w:rsid w:val="001460E7"/>
    <w:rsid w:val="00146356"/>
    <w:rsid w:val="00146455"/>
    <w:rsid w:val="001466B8"/>
    <w:rsid w:val="00146A8E"/>
    <w:rsid w:val="00147522"/>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B7F"/>
    <w:rsid w:val="00156C00"/>
    <w:rsid w:val="00156CEE"/>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C9"/>
    <w:rsid w:val="00162F27"/>
    <w:rsid w:val="00162FAF"/>
    <w:rsid w:val="001630FC"/>
    <w:rsid w:val="0016310D"/>
    <w:rsid w:val="001631EE"/>
    <w:rsid w:val="0016336F"/>
    <w:rsid w:val="00163479"/>
    <w:rsid w:val="00163522"/>
    <w:rsid w:val="00163585"/>
    <w:rsid w:val="00163A56"/>
    <w:rsid w:val="00163B3C"/>
    <w:rsid w:val="00163D64"/>
    <w:rsid w:val="001640AB"/>
    <w:rsid w:val="00164702"/>
    <w:rsid w:val="00164878"/>
    <w:rsid w:val="00164998"/>
    <w:rsid w:val="00164B06"/>
    <w:rsid w:val="00164B86"/>
    <w:rsid w:val="00164C23"/>
    <w:rsid w:val="00165033"/>
    <w:rsid w:val="001651CF"/>
    <w:rsid w:val="00165B97"/>
    <w:rsid w:val="00165F16"/>
    <w:rsid w:val="00166092"/>
    <w:rsid w:val="0016622D"/>
    <w:rsid w:val="001669F1"/>
    <w:rsid w:val="00166E54"/>
    <w:rsid w:val="001670EA"/>
    <w:rsid w:val="001674A0"/>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555"/>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3DD"/>
    <w:rsid w:val="001A3467"/>
    <w:rsid w:val="001A34EC"/>
    <w:rsid w:val="001A3853"/>
    <w:rsid w:val="001A38CD"/>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116"/>
    <w:rsid w:val="001D0730"/>
    <w:rsid w:val="001D0AAB"/>
    <w:rsid w:val="001D0F3F"/>
    <w:rsid w:val="001D16FA"/>
    <w:rsid w:val="001D1B07"/>
    <w:rsid w:val="001D202B"/>
    <w:rsid w:val="001D216F"/>
    <w:rsid w:val="001D2534"/>
    <w:rsid w:val="001D27AD"/>
    <w:rsid w:val="001D27F5"/>
    <w:rsid w:val="001D2C8A"/>
    <w:rsid w:val="001D2D55"/>
    <w:rsid w:val="001D2E07"/>
    <w:rsid w:val="001D2E49"/>
    <w:rsid w:val="001D3090"/>
    <w:rsid w:val="001D3353"/>
    <w:rsid w:val="001D34E3"/>
    <w:rsid w:val="001D37C4"/>
    <w:rsid w:val="001D39D7"/>
    <w:rsid w:val="001D3B71"/>
    <w:rsid w:val="001D3DFB"/>
    <w:rsid w:val="001D4501"/>
    <w:rsid w:val="001D47D0"/>
    <w:rsid w:val="001D498B"/>
    <w:rsid w:val="001D4C86"/>
    <w:rsid w:val="001D4EF2"/>
    <w:rsid w:val="001D5C1C"/>
    <w:rsid w:val="001D5D57"/>
    <w:rsid w:val="001D5DE8"/>
    <w:rsid w:val="001D60BB"/>
    <w:rsid w:val="001D6160"/>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BC"/>
    <w:rsid w:val="001E2EE9"/>
    <w:rsid w:val="001E2F65"/>
    <w:rsid w:val="001E2F79"/>
    <w:rsid w:val="001E3482"/>
    <w:rsid w:val="001E380F"/>
    <w:rsid w:val="001E3BB3"/>
    <w:rsid w:val="001E3DBA"/>
    <w:rsid w:val="001E3E96"/>
    <w:rsid w:val="001E3EA5"/>
    <w:rsid w:val="001E4477"/>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787"/>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491"/>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F33"/>
    <w:rsid w:val="0020300F"/>
    <w:rsid w:val="00203034"/>
    <w:rsid w:val="00203174"/>
    <w:rsid w:val="0020383F"/>
    <w:rsid w:val="00203899"/>
    <w:rsid w:val="002039E4"/>
    <w:rsid w:val="00203A43"/>
    <w:rsid w:val="00203A88"/>
    <w:rsid w:val="00204385"/>
    <w:rsid w:val="00204413"/>
    <w:rsid w:val="002046F8"/>
    <w:rsid w:val="002048CB"/>
    <w:rsid w:val="00204B3A"/>
    <w:rsid w:val="00204BCF"/>
    <w:rsid w:val="00204C28"/>
    <w:rsid w:val="002050F4"/>
    <w:rsid w:val="00205108"/>
    <w:rsid w:val="00205388"/>
    <w:rsid w:val="00205413"/>
    <w:rsid w:val="00205A46"/>
    <w:rsid w:val="00205AA5"/>
    <w:rsid w:val="00205AB4"/>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1A8"/>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3E"/>
    <w:rsid w:val="00236A87"/>
    <w:rsid w:val="00236AF9"/>
    <w:rsid w:val="00236B60"/>
    <w:rsid w:val="002375C2"/>
    <w:rsid w:val="0023778A"/>
    <w:rsid w:val="00237CA6"/>
    <w:rsid w:val="00237CB8"/>
    <w:rsid w:val="00237DFA"/>
    <w:rsid w:val="00237F12"/>
    <w:rsid w:val="002408E4"/>
    <w:rsid w:val="00240B1F"/>
    <w:rsid w:val="00240BBF"/>
    <w:rsid w:val="00241776"/>
    <w:rsid w:val="0024278A"/>
    <w:rsid w:val="00242C6A"/>
    <w:rsid w:val="00242D6F"/>
    <w:rsid w:val="00242DAD"/>
    <w:rsid w:val="00242E93"/>
    <w:rsid w:val="00243010"/>
    <w:rsid w:val="0024323C"/>
    <w:rsid w:val="0024336B"/>
    <w:rsid w:val="00243469"/>
    <w:rsid w:val="0024365D"/>
    <w:rsid w:val="0024395C"/>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DC"/>
    <w:rsid w:val="00246526"/>
    <w:rsid w:val="00246AE1"/>
    <w:rsid w:val="00246EB5"/>
    <w:rsid w:val="00246EEE"/>
    <w:rsid w:val="00247115"/>
    <w:rsid w:val="002472A0"/>
    <w:rsid w:val="002473A6"/>
    <w:rsid w:val="00247A84"/>
    <w:rsid w:val="00247E32"/>
    <w:rsid w:val="00247F8E"/>
    <w:rsid w:val="002500F9"/>
    <w:rsid w:val="00250A14"/>
    <w:rsid w:val="00250A84"/>
    <w:rsid w:val="00250CE1"/>
    <w:rsid w:val="002513D7"/>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060F"/>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32"/>
    <w:rsid w:val="00286E3C"/>
    <w:rsid w:val="00286E4E"/>
    <w:rsid w:val="00286FB8"/>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44E"/>
    <w:rsid w:val="002C4727"/>
    <w:rsid w:val="002C530E"/>
    <w:rsid w:val="002C54F3"/>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8F6"/>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5B"/>
    <w:rsid w:val="002E1F91"/>
    <w:rsid w:val="002E2456"/>
    <w:rsid w:val="002E2A95"/>
    <w:rsid w:val="002E38FD"/>
    <w:rsid w:val="002E3BEC"/>
    <w:rsid w:val="002E41C8"/>
    <w:rsid w:val="002E424E"/>
    <w:rsid w:val="002E44DB"/>
    <w:rsid w:val="002E48CA"/>
    <w:rsid w:val="002E4944"/>
    <w:rsid w:val="002E4D06"/>
    <w:rsid w:val="002E4E87"/>
    <w:rsid w:val="002E50CF"/>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0"/>
    <w:rsid w:val="002F612E"/>
    <w:rsid w:val="002F617E"/>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622"/>
    <w:rsid w:val="00327795"/>
    <w:rsid w:val="00327C30"/>
    <w:rsid w:val="00327E4D"/>
    <w:rsid w:val="003301C7"/>
    <w:rsid w:val="00330260"/>
    <w:rsid w:val="0033027F"/>
    <w:rsid w:val="003307DE"/>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2E53"/>
    <w:rsid w:val="00342F71"/>
    <w:rsid w:val="0034315E"/>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35B"/>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43D"/>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DD0"/>
    <w:rsid w:val="00355F5D"/>
    <w:rsid w:val="0035601A"/>
    <w:rsid w:val="00356135"/>
    <w:rsid w:val="0035619A"/>
    <w:rsid w:val="00356345"/>
    <w:rsid w:val="0035638A"/>
    <w:rsid w:val="00356752"/>
    <w:rsid w:val="003568C1"/>
    <w:rsid w:val="00356CD8"/>
    <w:rsid w:val="00356D86"/>
    <w:rsid w:val="00356D8C"/>
    <w:rsid w:val="00356E07"/>
    <w:rsid w:val="00357577"/>
    <w:rsid w:val="00357B9C"/>
    <w:rsid w:val="00357BF7"/>
    <w:rsid w:val="00360044"/>
    <w:rsid w:val="00360091"/>
    <w:rsid w:val="0036031D"/>
    <w:rsid w:val="003603A2"/>
    <w:rsid w:val="0036056C"/>
    <w:rsid w:val="00360693"/>
    <w:rsid w:val="0036089B"/>
    <w:rsid w:val="003609E2"/>
    <w:rsid w:val="003609FB"/>
    <w:rsid w:val="00360DC4"/>
    <w:rsid w:val="003611E7"/>
    <w:rsid w:val="00361323"/>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9AD"/>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5F8"/>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D"/>
    <w:rsid w:val="003B1D1E"/>
    <w:rsid w:val="003B2414"/>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D4B"/>
    <w:rsid w:val="003E2F6A"/>
    <w:rsid w:val="003E3108"/>
    <w:rsid w:val="003E3229"/>
    <w:rsid w:val="003E3523"/>
    <w:rsid w:val="003E36BD"/>
    <w:rsid w:val="003E39B4"/>
    <w:rsid w:val="003E39DA"/>
    <w:rsid w:val="003E3AC9"/>
    <w:rsid w:val="003E3DA9"/>
    <w:rsid w:val="003E4310"/>
    <w:rsid w:val="003E4352"/>
    <w:rsid w:val="003E45BA"/>
    <w:rsid w:val="003E48E0"/>
    <w:rsid w:val="003E49D8"/>
    <w:rsid w:val="003E4E75"/>
    <w:rsid w:val="003E501F"/>
    <w:rsid w:val="003E5246"/>
    <w:rsid w:val="003E5452"/>
    <w:rsid w:val="003E54AE"/>
    <w:rsid w:val="003E56D5"/>
    <w:rsid w:val="003E5843"/>
    <w:rsid w:val="003E589B"/>
    <w:rsid w:val="003E5AD9"/>
    <w:rsid w:val="003E5C90"/>
    <w:rsid w:val="003E611E"/>
    <w:rsid w:val="003E613D"/>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FFB"/>
    <w:rsid w:val="003F3060"/>
    <w:rsid w:val="003F31E6"/>
    <w:rsid w:val="003F463A"/>
    <w:rsid w:val="003F486A"/>
    <w:rsid w:val="003F4B0B"/>
    <w:rsid w:val="003F4CF9"/>
    <w:rsid w:val="003F5368"/>
    <w:rsid w:val="003F5958"/>
    <w:rsid w:val="003F5A1C"/>
    <w:rsid w:val="003F6025"/>
    <w:rsid w:val="003F69C9"/>
    <w:rsid w:val="003F6B28"/>
    <w:rsid w:val="003F6CB5"/>
    <w:rsid w:val="003F6F15"/>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B10"/>
    <w:rsid w:val="00403C4B"/>
    <w:rsid w:val="00403CF8"/>
    <w:rsid w:val="00403FC0"/>
    <w:rsid w:val="00404246"/>
    <w:rsid w:val="00404424"/>
    <w:rsid w:val="0040447F"/>
    <w:rsid w:val="00404694"/>
    <w:rsid w:val="0040472E"/>
    <w:rsid w:val="00404B0B"/>
    <w:rsid w:val="00404D7B"/>
    <w:rsid w:val="00404E8E"/>
    <w:rsid w:val="004053AC"/>
    <w:rsid w:val="00405AEA"/>
    <w:rsid w:val="00405F95"/>
    <w:rsid w:val="004060C5"/>
    <w:rsid w:val="00406296"/>
    <w:rsid w:val="0040637D"/>
    <w:rsid w:val="004065E3"/>
    <w:rsid w:val="00406616"/>
    <w:rsid w:val="0040694B"/>
    <w:rsid w:val="00406C2F"/>
    <w:rsid w:val="00406E75"/>
    <w:rsid w:val="0040762A"/>
    <w:rsid w:val="0040773B"/>
    <w:rsid w:val="004079B0"/>
    <w:rsid w:val="004079B5"/>
    <w:rsid w:val="004079F3"/>
    <w:rsid w:val="00407A21"/>
    <w:rsid w:val="00407AA3"/>
    <w:rsid w:val="00410C11"/>
    <w:rsid w:val="00410F6A"/>
    <w:rsid w:val="00410FEF"/>
    <w:rsid w:val="00411066"/>
    <w:rsid w:val="00411150"/>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1FFA"/>
    <w:rsid w:val="004222FB"/>
    <w:rsid w:val="004225D3"/>
    <w:rsid w:val="0042275C"/>
    <w:rsid w:val="00422D3F"/>
    <w:rsid w:val="00422E77"/>
    <w:rsid w:val="004230D2"/>
    <w:rsid w:val="00423422"/>
    <w:rsid w:val="00424422"/>
    <w:rsid w:val="004244C5"/>
    <w:rsid w:val="00424A31"/>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9C7"/>
    <w:rsid w:val="004329F0"/>
    <w:rsid w:val="00432AA7"/>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67D"/>
    <w:rsid w:val="0044176F"/>
    <w:rsid w:val="004419F5"/>
    <w:rsid w:val="00441C8E"/>
    <w:rsid w:val="00441E52"/>
    <w:rsid w:val="00442273"/>
    <w:rsid w:val="00442356"/>
    <w:rsid w:val="004423FA"/>
    <w:rsid w:val="0044270F"/>
    <w:rsid w:val="00442737"/>
    <w:rsid w:val="004427C8"/>
    <w:rsid w:val="00442ADE"/>
    <w:rsid w:val="00443C22"/>
    <w:rsid w:val="00444322"/>
    <w:rsid w:val="00444548"/>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6FA"/>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1E51"/>
    <w:rsid w:val="004620EF"/>
    <w:rsid w:val="00462135"/>
    <w:rsid w:val="00462555"/>
    <w:rsid w:val="00462860"/>
    <w:rsid w:val="00462BD2"/>
    <w:rsid w:val="004630D5"/>
    <w:rsid w:val="0046339E"/>
    <w:rsid w:val="00463744"/>
    <w:rsid w:val="00463CA1"/>
    <w:rsid w:val="00463EE1"/>
    <w:rsid w:val="004641AB"/>
    <w:rsid w:val="004644AF"/>
    <w:rsid w:val="004644F4"/>
    <w:rsid w:val="004648D8"/>
    <w:rsid w:val="00464BA3"/>
    <w:rsid w:val="00464C8F"/>
    <w:rsid w:val="00464E02"/>
    <w:rsid w:val="00464EB7"/>
    <w:rsid w:val="004654C1"/>
    <w:rsid w:val="00465CF8"/>
    <w:rsid w:val="004661E8"/>
    <w:rsid w:val="004667C9"/>
    <w:rsid w:val="004668AA"/>
    <w:rsid w:val="00466A94"/>
    <w:rsid w:val="00466F88"/>
    <w:rsid w:val="0046701D"/>
    <w:rsid w:val="00467194"/>
    <w:rsid w:val="0046780A"/>
    <w:rsid w:val="00467DBF"/>
    <w:rsid w:val="004701D9"/>
    <w:rsid w:val="004703C8"/>
    <w:rsid w:val="004704F4"/>
    <w:rsid w:val="004709AD"/>
    <w:rsid w:val="004709F8"/>
    <w:rsid w:val="00470DEA"/>
    <w:rsid w:val="00470FE6"/>
    <w:rsid w:val="00471048"/>
    <w:rsid w:val="004715BC"/>
    <w:rsid w:val="00471C40"/>
    <w:rsid w:val="00471CEE"/>
    <w:rsid w:val="00471DF9"/>
    <w:rsid w:val="00472487"/>
    <w:rsid w:val="004728DE"/>
    <w:rsid w:val="00472AFA"/>
    <w:rsid w:val="00472F0F"/>
    <w:rsid w:val="004734BA"/>
    <w:rsid w:val="004737C2"/>
    <w:rsid w:val="00473924"/>
    <w:rsid w:val="00473BB4"/>
    <w:rsid w:val="00474B17"/>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3F4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4B7"/>
    <w:rsid w:val="004916F1"/>
    <w:rsid w:val="004918EE"/>
    <w:rsid w:val="00491A55"/>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9DC"/>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E3"/>
    <w:rsid w:val="004B46D8"/>
    <w:rsid w:val="004B47D0"/>
    <w:rsid w:val="004B4892"/>
    <w:rsid w:val="004B51E4"/>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6217"/>
    <w:rsid w:val="004C628F"/>
    <w:rsid w:val="004C63FA"/>
    <w:rsid w:val="004C6867"/>
    <w:rsid w:val="004C686D"/>
    <w:rsid w:val="004C6D3D"/>
    <w:rsid w:val="004C7419"/>
    <w:rsid w:val="004C7551"/>
    <w:rsid w:val="004C795A"/>
    <w:rsid w:val="004C7DCC"/>
    <w:rsid w:val="004D022B"/>
    <w:rsid w:val="004D03D8"/>
    <w:rsid w:val="004D044A"/>
    <w:rsid w:val="004D0E50"/>
    <w:rsid w:val="004D0E9D"/>
    <w:rsid w:val="004D10DB"/>
    <w:rsid w:val="004D13B0"/>
    <w:rsid w:val="004D14FE"/>
    <w:rsid w:val="004D17A7"/>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830"/>
    <w:rsid w:val="004D4895"/>
    <w:rsid w:val="004D4AE1"/>
    <w:rsid w:val="004D52BE"/>
    <w:rsid w:val="004D52E6"/>
    <w:rsid w:val="004D5345"/>
    <w:rsid w:val="004D5567"/>
    <w:rsid w:val="004D56CF"/>
    <w:rsid w:val="004D5833"/>
    <w:rsid w:val="004D5A28"/>
    <w:rsid w:val="004D5D00"/>
    <w:rsid w:val="004D61B1"/>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D56"/>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8A3"/>
    <w:rsid w:val="004E6913"/>
    <w:rsid w:val="004E6BC4"/>
    <w:rsid w:val="004E6F32"/>
    <w:rsid w:val="004E71C8"/>
    <w:rsid w:val="004E7340"/>
    <w:rsid w:val="004E743B"/>
    <w:rsid w:val="004E7A1A"/>
    <w:rsid w:val="004E7D59"/>
    <w:rsid w:val="004F05F4"/>
    <w:rsid w:val="004F0BB5"/>
    <w:rsid w:val="004F0C91"/>
    <w:rsid w:val="004F0DB4"/>
    <w:rsid w:val="004F0F3F"/>
    <w:rsid w:val="004F11EA"/>
    <w:rsid w:val="004F16E6"/>
    <w:rsid w:val="004F1E7B"/>
    <w:rsid w:val="004F2F24"/>
    <w:rsid w:val="004F2F38"/>
    <w:rsid w:val="004F3215"/>
    <w:rsid w:val="004F356D"/>
    <w:rsid w:val="004F39E3"/>
    <w:rsid w:val="004F3A2E"/>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59B"/>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A7"/>
    <w:rsid w:val="0054346E"/>
    <w:rsid w:val="00543605"/>
    <w:rsid w:val="00543C4E"/>
    <w:rsid w:val="00543E8F"/>
    <w:rsid w:val="00543F5C"/>
    <w:rsid w:val="00543F80"/>
    <w:rsid w:val="005441A6"/>
    <w:rsid w:val="0054435A"/>
    <w:rsid w:val="0054461F"/>
    <w:rsid w:val="0054472C"/>
    <w:rsid w:val="00544F81"/>
    <w:rsid w:val="005450B2"/>
    <w:rsid w:val="0054526F"/>
    <w:rsid w:val="005452C3"/>
    <w:rsid w:val="00545A4C"/>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3A"/>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CD6"/>
    <w:rsid w:val="00570FD9"/>
    <w:rsid w:val="0057100C"/>
    <w:rsid w:val="0057120B"/>
    <w:rsid w:val="00571430"/>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2021"/>
    <w:rsid w:val="005822FB"/>
    <w:rsid w:val="00582367"/>
    <w:rsid w:val="00582A22"/>
    <w:rsid w:val="00582AAA"/>
    <w:rsid w:val="00582F3B"/>
    <w:rsid w:val="00583094"/>
    <w:rsid w:val="0058319C"/>
    <w:rsid w:val="005832FA"/>
    <w:rsid w:val="005833D1"/>
    <w:rsid w:val="00583951"/>
    <w:rsid w:val="00583A77"/>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039"/>
    <w:rsid w:val="005973F3"/>
    <w:rsid w:val="005977CC"/>
    <w:rsid w:val="00597B2A"/>
    <w:rsid w:val="00597B51"/>
    <w:rsid w:val="00597DDF"/>
    <w:rsid w:val="005A0540"/>
    <w:rsid w:val="005A058F"/>
    <w:rsid w:val="005A0683"/>
    <w:rsid w:val="005A0C1D"/>
    <w:rsid w:val="005A11E9"/>
    <w:rsid w:val="005A138C"/>
    <w:rsid w:val="005A18B3"/>
    <w:rsid w:val="005A1D91"/>
    <w:rsid w:val="005A231A"/>
    <w:rsid w:val="005A28C8"/>
    <w:rsid w:val="005A2917"/>
    <w:rsid w:val="005A2A2D"/>
    <w:rsid w:val="005A30C7"/>
    <w:rsid w:val="005A32E6"/>
    <w:rsid w:val="005A38FA"/>
    <w:rsid w:val="005A39E4"/>
    <w:rsid w:val="005A3A60"/>
    <w:rsid w:val="005A3D48"/>
    <w:rsid w:val="005A3FBE"/>
    <w:rsid w:val="005A3FD5"/>
    <w:rsid w:val="005A406F"/>
    <w:rsid w:val="005A4156"/>
    <w:rsid w:val="005A42C3"/>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A5F"/>
    <w:rsid w:val="005A7B42"/>
    <w:rsid w:val="005A7BA5"/>
    <w:rsid w:val="005A7D42"/>
    <w:rsid w:val="005A7EB1"/>
    <w:rsid w:val="005A7F5B"/>
    <w:rsid w:val="005B015F"/>
    <w:rsid w:val="005B02D8"/>
    <w:rsid w:val="005B058A"/>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4DB1"/>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207C"/>
    <w:rsid w:val="005C21EC"/>
    <w:rsid w:val="005C25F3"/>
    <w:rsid w:val="005C28A4"/>
    <w:rsid w:val="005C297F"/>
    <w:rsid w:val="005C2D23"/>
    <w:rsid w:val="005C2E46"/>
    <w:rsid w:val="005C2F5F"/>
    <w:rsid w:val="005C30F9"/>
    <w:rsid w:val="005C3310"/>
    <w:rsid w:val="005C3B97"/>
    <w:rsid w:val="005C3DA5"/>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E26"/>
    <w:rsid w:val="005C72E0"/>
    <w:rsid w:val="005C740E"/>
    <w:rsid w:val="005C748C"/>
    <w:rsid w:val="005C7494"/>
    <w:rsid w:val="005D0100"/>
    <w:rsid w:val="005D03E2"/>
    <w:rsid w:val="005D0526"/>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E7"/>
    <w:rsid w:val="005E1016"/>
    <w:rsid w:val="005E11E4"/>
    <w:rsid w:val="005E12DB"/>
    <w:rsid w:val="005E1643"/>
    <w:rsid w:val="005E1835"/>
    <w:rsid w:val="005E184F"/>
    <w:rsid w:val="005E1F89"/>
    <w:rsid w:val="005E23EB"/>
    <w:rsid w:val="005E248D"/>
    <w:rsid w:val="005E2914"/>
    <w:rsid w:val="005E293D"/>
    <w:rsid w:val="005E2A2B"/>
    <w:rsid w:val="005E2E6D"/>
    <w:rsid w:val="005E3062"/>
    <w:rsid w:val="005E3288"/>
    <w:rsid w:val="005E38C5"/>
    <w:rsid w:val="005E3A92"/>
    <w:rsid w:val="005E3B41"/>
    <w:rsid w:val="005E4331"/>
    <w:rsid w:val="005E4675"/>
    <w:rsid w:val="005E48AC"/>
    <w:rsid w:val="005E49AA"/>
    <w:rsid w:val="005E4FA6"/>
    <w:rsid w:val="005E502B"/>
    <w:rsid w:val="005E5081"/>
    <w:rsid w:val="005E5510"/>
    <w:rsid w:val="005E561C"/>
    <w:rsid w:val="005E5958"/>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0B5"/>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A45"/>
    <w:rsid w:val="005F7562"/>
    <w:rsid w:val="005F79CF"/>
    <w:rsid w:val="005F7A37"/>
    <w:rsid w:val="00600210"/>
    <w:rsid w:val="006004FE"/>
    <w:rsid w:val="006007FC"/>
    <w:rsid w:val="00600844"/>
    <w:rsid w:val="00600BF7"/>
    <w:rsid w:val="00600EE0"/>
    <w:rsid w:val="0060118F"/>
    <w:rsid w:val="0060125F"/>
    <w:rsid w:val="0060159F"/>
    <w:rsid w:val="00601675"/>
    <w:rsid w:val="00601795"/>
    <w:rsid w:val="0060183E"/>
    <w:rsid w:val="00601914"/>
    <w:rsid w:val="006022CA"/>
    <w:rsid w:val="006027D5"/>
    <w:rsid w:val="00602DBA"/>
    <w:rsid w:val="00602F24"/>
    <w:rsid w:val="00603167"/>
    <w:rsid w:val="00603674"/>
    <w:rsid w:val="00603D17"/>
    <w:rsid w:val="00603EC4"/>
    <w:rsid w:val="00603EE5"/>
    <w:rsid w:val="00603F03"/>
    <w:rsid w:val="006040D1"/>
    <w:rsid w:val="00604542"/>
    <w:rsid w:val="0060454C"/>
    <w:rsid w:val="00604C6E"/>
    <w:rsid w:val="00605481"/>
    <w:rsid w:val="006056A6"/>
    <w:rsid w:val="00605CD5"/>
    <w:rsid w:val="00606B1C"/>
    <w:rsid w:val="00606FA2"/>
    <w:rsid w:val="0060727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97"/>
    <w:rsid w:val="00614CD1"/>
    <w:rsid w:val="00615199"/>
    <w:rsid w:val="006154BF"/>
    <w:rsid w:val="006154EB"/>
    <w:rsid w:val="0061622B"/>
    <w:rsid w:val="00616260"/>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5C8"/>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3C"/>
    <w:rsid w:val="0062509A"/>
    <w:rsid w:val="006250AA"/>
    <w:rsid w:val="006250BF"/>
    <w:rsid w:val="00625173"/>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701"/>
    <w:rsid w:val="00656F06"/>
    <w:rsid w:val="00657288"/>
    <w:rsid w:val="006574B9"/>
    <w:rsid w:val="006578CE"/>
    <w:rsid w:val="0065790E"/>
    <w:rsid w:val="00660003"/>
    <w:rsid w:val="00660234"/>
    <w:rsid w:val="0066023B"/>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548"/>
    <w:rsid w:val="006726AC"/>
    <w:rsid w:val="00672748"/>
    <w:rsid w:val="00672977"/>
    <w:rsid w:val="006736DF"/>
    <w:rsid w:val="00673ADC"/>
    <w:rsid w:val="00673E5E"/>
    <w:rsid w:val="006742BB"/>
    <w:rsid w:val="006743C6"/>
    <w:rsid w:val="0067450A"/>
    <w:rsid w:val="006747A8"/>
    <w:rsid w:val="0067483E"/>
    <w:rsid w:val="00674959"/>
    <w:rsid w:val="00674B23"/>
    <w:rsid w:val="00674D88"/>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269"/>
    <w:rsid w:val="0068253A"/>
    <w:rsid w:val="006828EC"/>
    <w:rsid w:val="00682E86"/>
    <w:rsid w:val="0068307D"/>
    <w:rsid w:val="00683173"/>
    <w:rsid w:val="00683761"/>
    <w:rsid w:val="006837CA"/>
    <w:rsid w:val="006839C2"/>
    <w:rsid w:val="00683A94"/>
    <w:rsid w:val="00683EA5"/>
    <w:rsid w:val="00684331"/>
    <w:rsid w:val="00684EA1"/>
    <w:rsid w:val="0068508F"/>
    <w:rsid w:val="00685470"/>
    <w:rsid w:val="0068559E"/>
    <w:rsid w:val="0068595D"/>
    <w:rsid w:val="006859F8"/>
    <w:rsid w:val="00685B0A"/>
    <w:rsid w:val="00686170"/>
    <w:rsid w:val="006866D2"/>
    <w:rsid w:val="00686743"/>
    <w:rsid w:val="006869ED"/>
    <w:rsid w:val="00686CD3"/>
    <w:rsid w:val="00687062"/>
    <w:rsid w:val="0068711B"/>
    <w:rsid w:val="00687760"/>
    <w:rsid w:val="00687914"/>
    <w:rsid w:val="00687BE3"/>
    <w:rsid w:val="00687DAF"/>
    <w:rsid w:val="00687E35"/>
    <w:rsid w:val="00687F2E"/>
    <w:rsid w:val="00690390"/>
    <w:rsid w:val="0069072C"/>
    <w:rsid w:val="00690F97"/>
    <w:rsid w:val="00691094"/>
    <w:rsid w:val="00691247"/>
    <w:rsid w:val="006912A1"/>
    <w:rsid w:val="006919E9"/>
    <w:rsid w:val="00691A25"/>
    <w:rsid w:val="00691A8E"/>
    <w:rsid w:val="00691AAD"/>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709"/>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49B"/>
    <w:rsid w:val="006B1BC8"/>
    <w:rsid w:val="006B1C68"/>
    <w:rsid w:val="006B1E3F"/>
    <w:rsid w:val="006B2372"/>
    <w:rsid w:val="006B2534"/>
    <w:rsid w:val="006B2922"/>
    <w:rsid w:val="006B2AC8"/>
    <w:rsid w:val="006B2EDC"/>
    <w:rsid w:val="006B2FAF"/>
    <w:rsid w:val="006B30A6"/>
    <w:rsid w:val="006B343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0B"/>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2494"/>
    <w:rsid w:val="006E279C"/>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CC"/>
    <w:rsid w:val="006E7E02"/>
    <w:rsid w:val="006F0076"/>
    <w:rsid w:val="006F02BE"/>
    <w:rsid w:val="006F03CF"/>
    <w:rsid w:val="006F08E2"/>
    <w:rsid w:val="006F0ACB"/>
    <w:rsid w:val="006F0BCE"/>
    <w:rsid w:val="006F0F67"/>
    <w:rsid w:val="006F1141"/>
    <w:rsid w:val="006F19D2"/>
    <w:rsid w:val="006F1B8F"/>
    <w:rsid w:val="006F2042"/>
    <w:rsid w:val="006F20D6"/>
    <w:rsid w:val="006F22AB"/>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0E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33D"/>
    <w:rsid w:val="00736B09"/>
    <w:rsid w:val="00736B14"/>
    <w:rsid w:val="00736C60"/>
    <w:rsid w:val="00736CAE"/>
    <w:rsid w:val="00736D17"/>
    <w:rsid w:val="00736FE4"/>
    <w:rsid w:val="00737101"/>
    <w:rsid w:val="0073726C"/>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7BF"/>
    <w:rsid w:val="0075292D"/>
    <w:rsid w:val="007529AE"/>
    <w:rsid w:val="007532DE"/>
    <w:rsid w:val="0075356D"/>
    <w:rsid w:val="00753652"/>
    <w:rsid w:val="00753752"/>
    <w:rsid w:val="0075384C"/>
    <w:rsid w:val="007540DE"/>
    <w:rsid w:val="007543C6"/>
    <w:rsid w:val="00754BFE"/>
    <w:rsid w:val="00754D2C"/>
    <w:rsid w:val="007553C1"/>
    <w:rsid w:val="00755481"/>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EEF"/>
    <w:rsid w:val="00771F4C"/>
    <w:rsid w:val="0077214D"/>
    <w:rsid w:val="00772153"/>
    <w:rsid w:val="00772207"/>
    <w:rsid w:val="0077246C"/>
    <w:rsid w:val="00772AB8"/>
    <w:rsid w:val="00772D32"/>
    <w:rsid w:val="0077318C"/>
    <w:rsid w:val="00773769"/>
    <w:rsid w:val="00774095"/>
    <w:rsid w:val="007743CE"/>
    <w:rsid w:val="00774544"/>
    <w:rsid w:val="00774675"/>
    <w:rsid w:val="0077473D"/>
    <w:rsid w:val="00774871"/>
    <w:rsid w:val="007749BC"/>
    <w:rsid w:val="00774A42"/>
    <w:rsid w:val="0077548E"/>
    <w:rsid w:val="007758A7"/>
    <w:rsid w:val="007759AD"/>
    <w:rsid w:val="00775B7D"/>
    <w:rsid w:val="007764D8"/>
    <w:rsid w:val="00776869"/>
    <w:rsid w:val="00776960"/>
    <w:rsid w:val="00776A55"/>
    <w:rsid w:val="00776B45"/>
    <w:rsid w:val="0077767A"/>
    <w:rsid w:val="0077768D"/>
    <w:rsid w:val="00780046"/>
    <w:rsid w:val="00780385"/>
    <w:rsid w:val="0078045A"/>
    <w:rsid w:val="0078060B"/>
    <w:rsid w:val="007808BA"/>
    <w:rsid w:val="00780A0D"/>
    <w:rsid w:val="00780FE6"/>
    <w:rsid w:val="00781BED"/>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1663"/>
    <w:rsid w:val="007C16E7"/>
    <w:rsid w:val="007C187B"/>
    <w:rsid w:val="007C1921"/>
    <w:rsid w:val="007C19D6"/>
    <w:rsid w:val="007C20BA"/>
    <w:rsid w:val="007C21D6"/>
    <w:rsid w:val="007C2739"/>
    <w:rsid w:val="007C2D37"/>
    <w:rsid w:val="007C2EC2"/>
    <w:rsid w:val="007C2FBF"/>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778"/>
    <w:rsid w:val="007D28A2"/>
    <w:rsid w:val="007D2AA0"/>
    <w:rsid w:val="007D2AD8"/>
    <w:rsid w:val="007D2E3E"/>
    <w:rsid w:val="007D2E65"/>
    <w:rsid w:val="007D2F0D"/>
    <w:rsid w:val="007D2F1C"/>
    <w:rsid w:val="007D3108"/>
    <w:rsid w:val="007D31BD"/>
    <w:rsid w:val="007D355C"/>
    <w:rsid w:val="007D3573"/>
    <w:rsid w:val="007D3B55"/>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559"/>
    <w:rsid w:val="007E26F2"/>
    <w:rsid w:val="007E2BEB"/>
    <w:rsid w:val="007E3775"/>
    <w:rsid w:val="007E3A23"/>
    <w:rsid w:val="007E3DA9"/>
    <w:rsid w:val="007E4F3F"/>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9F0"/>
    <w:rsid w:val="007F5A93"/>
    <w:rsid w:val="007F609B"/>
    <w:rsid w:val="007F6580"/>
    <w:rsid w:val="007F67C8"/>
    <w:rsid w:val="007F681C"/>
    <w:rsid w:val="007F682B"/>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D26"/>
    <w:rsid w:val="00802F3A"/>
    <w:rsid w:val="008033E1"/>
    <w:rsid w:val="008034BC"/>
    <w:rsid w:val="00803657"/>
    <w:rsid w:val="00803688"/>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1F9"/>
    <w:rsid w:val="00806242"/>
    <w:rsid w:val="008063C3"/>
    <w:rsid w:val="0080649A"/>
    <w:rsid w:val="008064D4"/>
    <w:rsid w:val="00806819"/>
    <w:rsid w:val="00806D0A"/>
    <w:rsid w:val="00807052"/>
    <w:rsid w:val="0080714C"/>
    <w:rsid w:val="008073FC"/>
    <w:rsid w:val="0080759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5B4"/>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7FC"/>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942"/>
    <w:rsid w:val="00845A2B"/>
    <w:rsid w:val="00845A94"/>
    <w:rsid w:val="00845C0D"/>
    <w:rsid w:val="00845E54"/>
    <w:rsid w:val="008464F4"/>
    <w:rsid w:val="008469A9"/>
    <w:rsid w:val="00846B04"/>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A7C"/>
    <w:rsid w:val="00855B27"/>
    <w:rsid w:val="00855B9B"/>
    <w:rsid w:val="00855EE4"/>
    <w:rsid w:val="00856096"/>
    <w:rsid w:val="008565CD"/>
    <w:rsid w:val="0085672C"/>
    <w:rsid w:val="0085682F"/>
    <w:rsid w:val="00856C58"/>
    <w:rsid w:val="00856C73"/>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6C5"/>
    <w:rsid w:val="00864DE4"/>
    <w:rsid w:val="00864F76"/>
    <w:rsid w:val="00865101"/>
    <w:rsid w:val="00865149"/>
    <w:rsid w:val="00865247"/>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334"/>
    <w:rsid w:val="00884386"/>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EF"/>
    <w:rsid w:val="008902AE"/>
    <w:rsid w:val="00890549"/>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231"/>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6CE"/>
    <w:rsid w:val="008B2759"/>
    <w:rsid w:val="008B293A"/>
    <w:rsid w:val="008B2CCE"/>
    <w:rsid w:val="008B2DF5"/>
    <w:rsid w:val="008B2E2B"/>
    <w:rsid w:val="008B2EDC"/>
    <w:rsid w:val="008B2FCE"/>
    <w:rsid w:val="008B361B"/>
    <w:rsid w:val="008B3673"/>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98A"/>
    <w:rsid w:val="008B6C43"/>
    <w:rsid w:val="008B6DCE"/>
    <w:rsid w:val="008B6FEB"/>
    <w:rsid w:val="008B72C3"/>
    <w:rsid w:val="008B7A94"/>
    <w:rsid w:val="008B7B07"/>
    <w:rsid w:val="008B7DC0"/>
    <w:rsid w:val="008B7DE6"/>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3A"/>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0E59"/>
    <w:rsid w:val="00921125"/>
    <w:rsid w:val="009211CF"/>
    <w:rsid w:val="00921488"/>
    <w:rsid w:val="0092169C"/>
    <w:rsid w:val="009223C0"/>
    <w:rsid w:val="0092261F"/>
    <w:rsid w:val="00922C15"/>
    <w:rsid w:val="009231FF"/>
    <w:rsid w:val="009233A9"/>
    <w:rsid w:val="0092376E"/>
    <w:rsid w:val="009239BD"/>
    <w:rsid w:val="00923A33"/>
    <w:rsid w:val="009240A3"/>
    <w:rsid w:val="00924437"/>
    <w:rsid w:val="00924652"/>
    <w:rsid w:val="0092474E"/>
    <w:rsid w:val="00924BFB"/>
    <w:rsid w:val="00924EEB"/>
    <w:rsid w:val="00925671"/>
    <w:rsid w:val="00925A4D"/>
    <w:rsid w:val="00925EFB"/>
    <w:rsid w:val="00925FF7"/>
    <w:rsid w:val="009263E9"/>
    <w:rsid w:val="00926B9C"/>
    <w:rsid w:val="00926BF5"/>
    <w:rsid w:val="00926C6A"/>
    <w:rsid w:val="00926FF7"/>
    <w:rsid w:val="00927099"/>
    <w:rsid w:val="009270AF"/>
    <w:rsid w:val="009273DF"/>
    <w:rsid w:val="009274BB"/>
    <w:rsid w:val="00927523"/>
    <w:rsid w:val="0092765E"/>
    <w:rsid w:val="00927A74"/>
    <w:rsid w:val="00927F2D"/>
    <w:rsid w:val="0093053A"/>
    <w:rsid w:val="009307E4"/>
    <w:rsid w:val="009309AD"/>
    <w:rsid w:val="00930EDC"/>
    <w:rsid w:val="00931109"/>
    <w:rsid w:val="00931252"/>
    <w:rsid w:val="00931851"/>
    <w:rsid w:val="0093188B"/>
    <w:rsid w:val="00931962"/>
    <w:rsid w:val="00931F1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5C9"/>
    <w:rsid w:val="00943716"/>
    <w:rsid w:val="009437B4"/>
    <w:rsid w:val="00943D67"/>
    <w:rsid w:val="0094427A"/>
    <w:rsid w:val="00944416"/>
    <w:rsid w:val="009444CE"/>
    <w:rsid w:val="009448B1"/>
    <w:rsid w:val="00944A41"/>
    <w:rsid w:val="00944CE8"/>
    <w:rsid w:val="00944F0D"/>
    <w:rsid w:val="00944F68"/>
    <w:rsid w:val="00945080"/>
    <w:rsid w:val="009450B1"/>
    <w:rsid w:val="00945134"/>
    <w:rsid w:val="0094532F"/>
    <w:rsid w:val="0094544E"/>
    <w:rsid w:val="00945466"/>
    <w:rsid w:val="009457AE"/>
    <w:rsid w:val="009458E2"/>
    <w:rsid w:val="00945CF2"/>
    <w:rsid w:val="00945F8A"/>
    <w:rsid w:val="00946538"/>
    <w:rsid w:val="009469C4"/>
    <w:rsid w:val="00946C28"/>
    <w:rsid w:val="00946CEE"/>
    <w:rsid w:val="00946D8C"/>
    <w:rsid w:val="00946EAE"/>
    <w:rsid w:val="009472C4"/>
    <w:rsid w:val="00947472"/>
    <w:rsid w:val="00947563"/>
    <w:rsid w:val="009476AE"/>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8D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0EC4"/>
    <w:rsid w:val="00981447"/>
    <w:rsid w:val="0098163E"/>
    <w:rsid w:val="00981EE4"/>
    <w:rsid w:val="00981EEF"/>
    <w:rsid w:val="0098203D"/>
    <w:rsid w:val="00982120"/>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410"/>
    <w:rsid w:val="00A1744D"/>
    <w:rsid w:val="00A20123"/>
    <w:rsid w:val="00A2028F"/>
    <w:rsid w:val="00A20526"/>
    <w:rsid w:val="00A205AF"/>
    <w:rsid w:val="00A20A89"/>
    <w:rsid w:val="00A20D44"/>
    <w:rsid w:val="00A20D47"/>
    <w:rsid w:val="00A20DFC"/>
    <w:rsid w:val="00A20EA5"/>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4E0"/>
    <w:rsid w:val="00A26511"/>
    <w:rsid w:val="00A2669B"/>
    <w:rsid w:val="00A26E13"/>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3B3"/>
    <w:rsid w:val="00A41767"/>
    <w:rsid w:val="00A41897"/>
    <w:rsid w:val="00A418E0"/>
    <w:rsid w:val="00A41ADF"/>
    <w:rsid w:val="00A41D90"/>
    <w:rsid w:val="00A41E93"/>
    <w:rsid w:val="00A41F6A"/>
    <w:rsid w:val="00A41FDD"/>
    <w:rsid w:val="00A42293"/>
    <w:rsid w:val="00A42493"/>
    <w:rsid w:val="00A424B7"/>
    <w:rsid w:val="00A43027"/>
    <w:rsid w:val="00A4358D"/>
    <w:rsid w:val="00A43718"/>
    <w:rsid w:val="00A43849"/>
    <w:rsid w:val="00A4390D"/>
    <w:rsid w:val="00A43B9D"/>
    <w:rsid w:val="00A43BCA"/>
    <w:rsid w:val="00A43BD9"/>
    <w:rsid w:val="00A43FD4"/>
    <w:rsid w:val="00A4406E"/>
    <w:rsid w:val="00A44677"/>
    <w:rsid w:val="00A4484F"/>
    <w:rsid w:val="00A448AF"/>
    <w:rsid w:val="00A4499F"/>
    <w:rsid w:val="00A449D9"/>
    <w:rsid w:val="00A44E33"/>
    <w:rsid w:val="00A4525B"/>
    <w:rsid w:val="00A455C0"/>
    <w:rsid w:val="00A45A50"/>
    <w:rsid w:val="00A45BD8"/>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222E"/>
    <w:rsid w:val="00A523D3"/>
    <w:rsid w:val="00A525D0"/>
    <w:rsid w:val="00A52FE0"/>
    <w:rsid w:val="00A5316F"/>
    <w:rsid w:val="00A5317E"/>
    <w:rsid w:val="00A53200"/>
    <w:rsid w:val="00A5339D"/>
    <w:rsid w:val="00A539BC"/>
    <w:rsid w:val="00A53A83"/>
    <w:rsid w:val="00A53BCF"/>
    <w:rsid w:val="00A53F81"/>
    <w:rsid w:val="00A5482A"/>
    <w:rsid w:val="00A54970"/>
    <w:rsid w:val="00A54F20"/>
    <w:rsid w:val="00A54F68"/>
    <w:rsid w:val="00A5554D"/>
    <w:rsid w:val="00A556C4"/>
    <w:rsid w:val="00A558FB"/>
    <w:rsid w:val="00A55926"/>
    <w:rsid w:val="00A56585"/>
    <w:rsid w:val="00A56630"/>
    <w:rsid w:val="00A56F3F"/>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7D5"/>
    <w:rsid w:val="00A649EE"/>
    <w:rsid w:val="00A64C95"/>
    <w:rsid w:val="00A64D2A"/>
    <w:rsid w:val="00A64EA5"/>
    <w:rsid w:val="00A652C1"/>
    <w:rsid w:val="00A655DB"/>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0ADC"/>
    <w:rsid w:val="00A80B6B"/>
    <w:rsid w:val="00A80C9E"/>
    <w:rsid w:val="00A813F7"/>
    <w:rsid w:val="00A81907"/>
    <w:rsid w:val="00A81B0F"/>
    <w:rsid w:val="00A82197"/>
    <w:rsid w:val="00A8227E"/>
    <w:rsid w:val="00A82826"/>
    <w:rsid w:val="00A82885"/>
    <w:rsid w:val="00A82CD5"/>
    <w:rsid w:val="00A82E36"/>
    <w:rsid w:val="00A82E59"/>
    <w:rsid w:val="00A82F0D"/>
    <w:rsid w:val="00A83337"/>
    <w:rsid w:val="00A83450"/>
    <w:rsid w:val="00A834CF"/>
    <w:rsid w:val="00A835B7"/>
    <w:rsid w:val="00A8370B"/>
    <w:rsid w:val="00A837EB"/>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5B8"/>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1A6"/>
    <w:rsid w:val="00A9766F"/>
    <w:rsid w:val="00A97A94"/>
    <w:rsid w:val="00A97DA0"/>
    <w:rsid w:val="00A97E73"/>
    <w:rsid w:val="00AA03E3"/>
    <w:rsid w:val="00AA06E6"/>
    <w:rsid w:val="00AA098F"/>
    <w:rsid w:val="00AA0DAD"/>
    <w:rsid w:val="00AA114D"/>
    <w:rsid w:val="00AA135E"/>
    <w:rsid w:val="00AA1479"/>
    <w:rsid w:val="00AA15B0"/>
    <w:rsid w:val="00AA1802"/>
    <w:rsid w:val="00AA1EC5"/>
    <w:rsid w:val="00AA208A"/>
    <w:rsid w:val="00AA225E"/>
    <w:rsid w:val="00AA2406"/>
    <w:rsid w:val="00AA240B"/>
    <w:rsid w:val="00AA2573"/>
    <w:rsid w:val="00AA2A80"/>
    <w:rsid w:val="00AA2DEE"/>
    <w:rsid w:val="00AA2E42"/>
    <w:rsid w:val="00AA2E50"/>
    <w:rsid w:val="00AA2FBD"/>
    <w:rsid w:val="00AA2FFD"/>
    <w:rsid w:val="00AA37C1"/>
    <w:rsid w:val="00AA3AAD"/>
    <w:rsid w:val="00AA3C0C"/>
    <w:rsid w:val="00AA421E"/>
    <w:rsid w:val="00AA424A"/>
    <w:rsid w:val="00AA4599"/>
    <w:rsid w:val="00AA4685"/>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A7C5A"/>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4D"/>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5D2F"/>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E4"/>
    <w:rsid w:val="00AE425C"/>
    <w:rsid w:val="00AE4766"/>
    <w:rsid w:val="00AE4A5C"/>
    <w:rsid w:val="00AE4EAD"/>
    <w:rsid w:val="00AE542F"/>
    <w:rsid w:val="00AE56AA"/>
    <w:rsid w:val="00AE57A9"/>
    <w:rsid w:val="00AE63CC"/>
    <w:rsid w:val="00AE6427"/>
    <w:rsid w:val="00AE650E"/>
    <w:rsid w:val="00AE6C06"/>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5051"/>
    <w:rsid w:val="00B06075"/>
    <w:rsid w:val="00B0625D"/>
    <w:rsid w:val="00B06837"/>
    <w:rsid w:val="00B069D5"/>
    <w:rsid w:val="00B06A7D"/>
    <w:rsid w:val="00B06BDC"/>
    <w:rsid w:val="00B06F36"/>
    <w:rsid w:val="00B06F39"/>
    <w:rsid w:val="00B0703B"/>
    <w:rsid w:val="00B0739D"/>
    <w:rsid w:val="00B07403"/>
    <w:rsid w:val="00B07611"/>
    <w:rsid w:val="00B07945"/>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BC"/>
    <w:rsid w:val="00B13CF8"/>
    <w:rsid w:val="00B13F1B"/>
    <w:rsid w:val="00B13FA5"/>
    <w:rsid w:val="00B141F6"/>
    <w:rsid w:val="00B14337"/>
    <w:rsid w:val="00B14B68"/>
    <w:rsid w:val="00B14BF6"/>
    <w:rsid w:val="00B14E3E"/>
    <w:rsid w:val="00B14E92"/>
    <w:rsid w:val="00B14F8D"/>
    <w:rsid w:val="00B15046"/>
    <w:rsid w:val="00B1513F"/>
    <w:rsid w:val="00B15535"/>
    <w:rsid w:val="00B155D4"/>
    <w:rsid w:val="00B1577C"/>
    <w:rsid w:val="00B157F6"/>
    <w:rsid w:val="00B159A0"/>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0E6B"/>
    <w:rsid w:val="00B313D2"/>
    <w:rsid w:val="00B31946"/>
    <w:rsid w:val="00B3206F"/>
    <w:rsid w:val="00B3207C"/>
    <w:rsid w:val="00B32677"/>
    <w:rsid w:val="00B32974"/>
    <w:rsid w:val="00B32A4C"/>
    <w:rsid w:val="00B32DE0"/>
    <w:rsid w:val="00B33324"/>
    <w:rsid w:val="00B33534"/>
    <w:rsid w:val="00B3366D"/>
    <w:rsid w:val="00B336FF"/>
    <w:rsid w:val="00B33B64"/>
    <w:rsid w:val="00B33C93"/>
    <w:rsid w:val="00B33D89"/>
    <w:rsid w:val="00B342E5"/>
    <w:rsid w:val="00B34AB2"/>
    <w:rsid w:val="00B34B41"/>
    <w:rsid w:val="00B34DFD"/>
    <w:rsid w:val="00B34EAD"/>
    <w:rsid w:val="00B34ECD"/>
    <w:rsid w:val="00B35176"/>
    <w:rsid w:val="00B3537F"/>
    <w:rsid w:val="00B353D8"/>
    <w:rsid w:val="00B353FA"/>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D12"/>
    <w:rsid w:val="00B40D73"/>
    <w:rsid w:val="00B4132E"/>
    <w:rsid w:val="00B41660"/>
    <w:rsid w:val="00B41859"/>
    <w:rsid w:val="00B41996"/>
    <w:rsid w:val="00B41FD1"/>
    <w:rsid w:val="00B420E5"/>
    <w:rsid w:val="00B42165"/>
    <w:rsid w:val="00B427BF"/>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D"/>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E54"/>
    <w:rsid w:val="00B61FA9"/>
    <w:rsid w:val="00B62092"/>
    <w:rsid w:val="00B620EC"/>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8B"/>
    <w:rsid w:val="00B728B9"/>
    <w:rsid w:val="00B72B84"/>
    <w:rsid w:val="00B72D85"/>
    <w:rsid w:val="00B72F16"/>
    <w:rsid w:val="00B7318B"/>
    <w:rsid w:val="00B73832"/>
    <w:rsid w:val="00B73C2F"/>
    <w:rsid w:val="00B73E4B"/>
    <w:rsid w:val="00B73EB0"/>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A8A"/>
    <w:rsid w:val="00B87D27"/>
    <w:rsid w:val="00B87DDC"/>
    <w:rsid w:val="00B9053A"/>
    <w:rsid w:val="00B909B8"/>
    <w:rsid w:val="00B90BE9"/>
    <w:rsid w:val="00B90BFF"/>
    <w:rsid w:val="00B90E15"/>
    <w:rsid w:val="00B91074"/>
    <w:rsid w:val="00B912D8"/>
    <w:rsid w:val="00B91462"/>
    <w:rsid w:val="00B91911"/>
    <w:rsid w:val="00B919F2"/>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1C7"/>
    <w:rsid w:val="00BB045C"/>
    <w:rsid w:val="00BB0461"/>
    <w:rsid w:val="00BB06F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B29"/>
    <w:rsid w:val="00BB6CC1"/>
    <w:rsid w:val="00BB6DCF"/>
    <w:rsid w:val="00BB6DF8"/>
    <w:rsid w:val="00BB75A2"/>
    <w:rsid w:val="00BB76E8"/>
    <w:rsid w:val="00BB7832"/>
    <w:rsid w:val="00BB7855"/>
    <w:rsid w:val="00BB7FC1"/>
    <w:rsid w:val="00BC05F4"/>
    <w:rsid w:val="00BC0819"/>
    <w:rsid w:val="00BC1009"/>
    <w:rsid w:val="00BC1283"/>
    <w:rsid w:val="00BC1536"/>
    <w:rsid w:val="00BC176C"/>
    <w:rsid w:val="00BC19DC"/>
    <w:rsid w:val="00BC1C2F"/>
    <w:rsid w:val="00BC1C5A"/>
    <w:rsid w:val="00BC1DC2"/>
    <w:rsid w:val="00BC1FEC"/>
    <w:rsid w:val="00BC2158"/>
    <w:rsid w:val="00BC22C2"/>
    <w:rsid w:val="00BC239C"/>
    <w:rsid w:val="00BC23B4"/>
    <w:rsid w:val="00BC2762"/>
    <w:rsid w:val="00BC2A33"/>
    <w:rsid w:val="00BC2DB8"/>
    <w:rsid w:val="00BC2F56"/>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1B4"/>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8A1"/>
    <w:rsid w:val="00BF0B44"/>
    <w:rsid w:val="00BF0D73"/>
    <w:rsid w:val="00BF0D93"/>
    <w:rsid w:val="00BF0DD7"/>
    <w:rsid w:val="00BF0F82"/>
    <w:rsid w:val="00BF102C"/>
    <w:rsid w:val="00BF10BC"/>
    <w:rsid w:val="00BF1645"/>
    <w:rsid w:val="00BF1692"/>
    <w:rsid w:val="00BF16DF"/>
    <w:rsid w:val="00BF17EF"/>
    <w:rsid w:val="00BF1E87"/>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546"/>
    <w:rsid w:val="00C12654"/>
    <w:rsid w:val="00C12907"/>
    <w:rsid w:val="00C129D4"/>
    <w:rsid w:val="00C12A26"/>
    <w:rsid w:val="00C12A8F"/>
    <w:rsid w:val="00C12C43"/>
    <w:rsid w:val="00C12E10"/>
    <w:rsid w:val="00C12F3B"/>
    <w:rsid w:val="00C13318"/>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66"/>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EB7"/>
    <w:rsid w:val="00C341F2"/>
    <w:rsid w:val="00C345DD"/>
    <w:rsid w:val="00C34739"/>
    <w:rsid w:val="00C34B08"/>
    <w:rsid w:val="00C34C6F"/>
    <w:rsid w:val="00C3505A"/>
    <w:rsid w:val="00C354EC"/>
    <w:rsid w:val="00C3550C"/>
    <w:rsid w:val="00C3591F"/>
    <w:rsid w:val="00C35B3D"/>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608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381"/>
    <w:rsid w:val="00C51C6D"/>
    <w:rsid w:val="00C51F72"/>
    <w:rsid w:val="00C521D1"/>
    <w:rsid w:val="00C53112"/>
    <w:rsid w:val="00C53227"/>
    <w:rsid w:val="00C535F1"/>
    <w:rsid w:val="00C536A9"/>
    <w:rsid w:val="00C539F0"/>
    <w:rsid w:val="00C53E94"/>
    <w:rsid w:val="00C54095"/>
    <w:rsid w:val="00C5495A"/>
    <w:rsid w:val="00C55626"/>
    <w:rsid w:val="00C558D2"/>
    <w:rsid w:val="00C55C85"/>
    <w:rsid w:val="00C55CE2"/>
    <w:rsid w:val="00C55E63"/>
    <w:rsid w:val="00C55F01"/>
    <w:rsid w:val="00C5616A"/>
    <w:rsid w:val="00C56369"/>
    <w:rsid w:val="00C5642B"/>
    <w:rsid w:val="00C56563"/>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586"/>
    <w:rsid w:val="00C707DC"/>
    <w:rsid w:val="00C70AE7"/>
    <w:rsid w:val="00C70D6B"/>
    <w:rsid w:val="00C70DC1"/>
    <w:rsid w:val="00C711E8"/>
    <w:rsid w:val="00C71256"/>
    <w:rsid w:val="00C713B2"/>
    <w:rsid w:val="00C715AD"/>
    <w:rsid w:val="00C71950"/>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2C0"/>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C77"/>
    <w:rsid w:val="00C97EFF"/>
    <w:rsid w:val="00CA00E6"/>
    <w:rsid w:val="00CA02AD"/>
    <w:rsid w:val="00CA03EC"/>
    <w:rsid w:val="00CA046C"/>
    <w:rsid w:val="00CA075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96E"/>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2FD"/>
    <w:rsid w:val="00CB05B0"/>
    <w:rsid w:val="00CB09DA"/>
    <w:rsid w:val="00CB0A5C"/>
    <w:rsid w:val="00CB0CB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6D7"/>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955"/>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BEE"/>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449"/>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A6D"/>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DE5"/>
    <w:rsid w:val="00D03E32"/>
    <w:rsid w:val="00D04217"/>
    <w:rsid w:val="00D042C4"/>
    <w:rsid w:val="00D0454B"/>
    <w:rsid w:val="00D04888"/>
    <w:rsid w:val="00D053AD"/>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74B"/>
    <w:rsid w:val="00D247BF"/>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4F5"/>
    <w:rsid w:val="00D4773E"/>
    <w:rsid w:val="00D47864"/>
    <w:rsid w:val="00D47BB1"/>
    <w:rsid w:val="00D47C16"/>
    <w:rsid w:val="00D47D47"/>
    <w:rsid w:val="00D501F2"/>
    <w:rsid w:val="00D503D9"/>
    <w:rsid w:val="00D50451"/>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313"/>
    <w:rsid w:val="00D6242A"/>
    <w:rsid w:val="00D62A8B"/>
    <w:rsid w:val="00D62AB4"/>
    <w:rsid w:val="00D62B8F"/>
    <w:rsid w:val="00D62CFD"/>
    <w:rsid w:val="00D62F86"/>
    <w:rsid w:val="00D630BB"/>
    <w:rsid w:val="00D633E3"/>
    <w:rsid w:val="00D63626"/>
    <w:rsid w:val="00D639B2"/>
    <w:rsid w:val="00D639BB"/>
    <w:rsid w:val="00D63B75"/>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7C"/>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3"/>
    <w:rsid w:val="00DB3859"/>
    <w:rsid w:val="00DB3A47"/>
    <w:rsid w:val="00DB3D7D"/>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D53"/>
    <w:rsid w:val="00DE0F23"/>
    <w:rsid w:val="00DE0F34"/>
    <w:rsid w:val="00DE10B9"/>
    <w:rsid w:val="00DE118B"/>
    <w:rsid w:val="00DE144F"/>
    <w:rsid w:val="00DE19FD"/>
    <w:rsid w:val="00DE1A27"/>
    <w:rsid w:val="00DE1B60"/>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B1F"/>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516"/>
    <w:rsid w:val="00E17784"/>
    <w:rsid w:val="00E17933"/>
    <w:rsid w:val="00E2048E"/>
    <w:rsid w:val="00E20687"/>
    <w:rsid w:val="00E2095F"/>
    <w:rsid w:val="00E21BB4"/>
    <w:rsid w:val="00E21CFA"/>
    <w:rsid w:val="00E222DC"/>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4F5C"/>
    <w:rsid w:val="00E2519E"/>
    <w:rsid w:val="00E253C1"/>
    <w:rsid w:val="00E253FC"/>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1D6"/>
    <w:rsid w:val="00E37371"/>
    <w:rsid w:val="00E3744A"/>
    <w:rsid w:val="00E37672"/>
    <w:rsid w:val="00E37DCB"/>
    <w:rsid w:val="00E37FD8"/>
    <w:rsid w:val="00E4050C"/>
    <w:rsid w:val="00E405C9"/>
    <w:rsid w:val="00E41066"/>
    <w:rsid w:val="00E415D5"/>
    <w:rsid w:val="00E4179F"/>
    <w:rsid w:val="00E4189A"/>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5F72"/>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2AA"/>
    <w:rsid w:val="00E618BA"/>
    <w:rsid w:val="00E623AD"/>
    <w:rsid w:val="00E62792"/>
    <w:rsid w:val="00E627BC"/>
    <w:rsid w:val="00E62B10"/>
    <w:rsid w:val="00E62F00"/>
    <w:rsid w:val="00E63348"/>
    <w:rsid w:val="00E6390D"/>
    <w:rsid w:val="00E63A6F"/>
    <w:rsid w:val="00E64261"/>
    <w:rsid w:val="00E64C61"/>
    <w:rsid w:val="00E64C85"/>
    <w:rsid w:val="00E64F60"/>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BEA"/>
    <w:rsid w:val="00E82474"/>
    <w:rsid w:val="00E824B5"/>
    <w:rsid w:val="00E82931"/>
    <w:rsid w:val="00E82E1A"/>
    <w:rsid w:val="00E831FC"/>
    <w:rsid w:val="00E832A0"/>
    <w:rsid w:val="00E833C8"/>
    <w:rsid w:val="00E833EE"/>
    <w:rsid w:val="00E8365F"/>
    <w:rsid w:val="00E83ABD"/>
    <w:rsid w:val="00E83ADF"/>
    <w:rsid w:val="00E83D40"/>
    <w:rsid w:val="00E83F69"/>
    <w:rsid w:val="00E84383"/>
    <w:rsid w:val="00E84792"/>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95D"/>
    <w:rsid w:val="00EB113E"/>
    <w:rsid w:val="00EB120E"/>
    <w:rsid w:val="00EB1258"/>
    <w:rsid w:val="00EB1340"/>
    <w:rsid w:val="00EB1448"/>
    <w:rsid w:val="00EB19C1"/>
    <w:rsid w:val="00EB1FDC"/>
    <w:rsid w:val="00EB312B"/>
    <w:rsid w:val="00EB33CC"/>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1E"/>
    <w:rsid w:val="00EC445B"/>
    <w:rsid w:val="00EC4483"/>
    <w:rsid w:val="00EC46E3"/>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B7"/>
    <w:rsid w:val="00ED4FEA"/>
    <w:rsid w:val="00ED5101"/>
    <w:rsid w:val="00ED5120"/>
    <w:rsid w:val="00ED5965"/>
    <w:rsid w:val="00ED5BA8"/>
    <w:rsid w:val="00ED5DB7"/>
    <w:rsid w:val="00ED5F5B"/>
    <w:rsid w:val="00ED6033"/>
    <w:rsid w:val="00ED63C8"/>
    <w:rsid w:val="00ED6959"/>
    <w:rsid w:val="00ED6C2F"/>
    <w:rsid w:val="00ED6E3E"/>
    <w:rsid w:val="00ED6EEC"/>
    <w:rsid w:val="00ED6FFE"/>
    <w:rsid w:val="00ED76AA"/>
    <w:rsid w:val="00ED7837"/>
    <w:rsid w:val="00ED787A"/>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4A2E"/>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90D"/>
    <w:rsid w:val="00F0296D"/>
    <w:rsid w:val="00F02985"/>
    <w:rsid w:val="00F02C8E"/>
    <w:rsid w:val="00F03602"/>
    <w:rsid w:val="00F03615"/>
    <w:rsid w:val="00F03983"/>
    <w:rsid w:val="00F039B5"/>
    <w:rsid w:val="00F03A93"/>
    <w:rsid w:val="00F03D52"/>
    <w:rsid w:val="00F03EDB"/>
    <w:rsid w:val="00F04452"/>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E6D"/>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166"/>
    <w:rsid w:val="00F304FA"/>
    <w:rsid w:val="00F306AB"/>
    <w:rsid w:val="00F30744"/>
    <w:rsid w:val="00F30AA7"/>
    <w:rsid w:val="00F30DC6"/>
    <w:rsid w:val="00F3123E"/>
    <w:rsid w:val="00F31714"/>
    <w:rsid w:val="00F31C02"/>
    <w:rsid w:val="00F3220F"/>
    <w:rsid w:val="00F32AA5"/>
    <w:rsid w:val="00F32BE7"/>
    <w:rsid w:val="00F3317A"/>
    <w:rsid w:val="00F333D7"/>
    <w:rsid w:val="00F33831"/>
    <w:rsid w:val="00F33AFB"/>
    <w:rsid w:val="00F341AF"/>
    <w:rsid w:val="00F343F9"/>
    <w:rsid w:val="00F344B7"/>
    <w:rsid w:val="00F349AA"/>
    <w:rsid w:val="00F34B49"/>
    <w:rsid w:val="00F34C86"/>
    <w:rsid w:val="00F34E02"/>
    <w:rsid w:val="00F354F4"/>
    <w:rsid w:val="00F3604E"/>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81D"/>
    <w:rsid w:val="00F44BC3"/>
    <w:rsid w:val="00F44D9A"/>
    <w:rsid w:val="00F45019"/>
    <w:rsid w:val="00F4537E"/>
    <w:rsid w:val="00F45584"/>
    <w:rsid w:val="00F45C4F"/>
    <w:rsid w:val="00F46028"/>
    <w:rsid w:val="00F4645C"/>
    <w:rsid w:val="00F46527"/>
    <w:rsid w:val="00F46650"/>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ACC"/>
    <w:rsid w:val="00F92C23"/>
    <w:rsid w:val="00F92C83"/>
    <w:rsid w:val="00F938A0"/>
    <w:rsid w:val="00F93A7C"/>
    <w:rsid w:val="00F93B77"/>
    <w:rsid w:val="00F93DEF"/>
    <w:rsid w:val="00F94022"/>
    <w:rsid w:val="00F941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F38"/>
    <w:rsid w:val="00F96F8C"/>
    <w:rsid w:val="00F972C2"/>
    <w:rsid w:val="00F972F2"/>
    <w:rsid w:val="00F973FB"/>
    <w:rsid w:val="00F97866"/>
    <w:rsid w:val="00F979CE"/>
    <w:rsid w:val="00F979F2"/>
    <w:rsid w:val="00F97B39"/>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B0"/>
    <w:rsid w:val="00FA4497"/>
    <w:rsid w:val="00FA465B"/>
    <w:rsid w:val="00FA4757"/>
    <w:rsid w:val="00FA48A6"/>
    <w:rsid w:val="00FA4C72"/>
    <w:rsid w:val="00FA4F86"/>
    <w:rsid w:val="00FA52C2"/>
    <w:rsid w:val="00FA5561"/>
    <w:rsid w:val="00FA593D"/>
    <w:rsid w:val="00FA5941"/>
    <w:rsid w:val="00FA60B3"/>
    <w:rsid w:val="00FA61F8"/>
    <w:rsid w:val="00FA639F"/>
    <w:rsid w:val="00FA6522"/>
    <w:rsid w:val="00FA65B1"/>
    <w:rsid w:val="00FA6AB8"/>
    <w:rsid w:val="00FA6BAC"/>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3E0"/>
    <w:rsid w:val="00FC1504"/>
    <w:rsid w:val="00FC1D7E"/>
    <w:rsid w:val="00FC2761"/>
    <w:rsid w:val="00FC284D"/>
    <w:rsid w:val="00FC2CCC"/>
    <w:rsid w:val="00FC2CE5"/>
    <w:rsid w:val="00FC2D73"/>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5AD"/>
    <w:rsid w:val="00FD7B0A"/>
    <w:rsid w:val="00FD7C71"/>
    <w:rsid w:val="00FD7D39"/>
    <w:rsid w:val="00FD7D97"/>
    <w:rsid w:val="00FD7DCA"/>
    <w:rsid w:val="00FD7EF5"/>
    <w:rsid w:val="00FE002E"/>
    <w:rsid w:val="00FE036B"/>
    <w:rsid w:val="00FE03C8"/>
    <w:rsid w:val="00FE084C"/>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69D"/>
    <w:rsid w:val="00FF37A3"/>
    <w:rsid w:val="00FF3D60"/>
    <w:rsid w:val="00FF4060"/>
    <w:rsid w:val="00FF40F4"/>
    <w:rsid w:val="00FF42FB"/>
    <w:rsid w:val="00FF4AEB"/>
    <w:rsid w:val="00FF4EA9"/>
    <w:rsid w:val="00FF4F60"/>
    <w:rsid w:val="00FF4FF5"/>
    <w:rsid w:val="00FF507B"/>
    <w:rsid w:val="00FF511F"/>
    <w:rsid w:val="00FF5293"/>
    <w:rsid w:val="00FF568D"/>
    <w:rsid w:val="00FF5F67"/>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15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1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15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4EAB95-8696-4769-B4EE-0454E216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2021-01-18T07:07:00Z</dcterms:created>
  <dcterms:modified xsi:type="dcterms:W3CDTF">2021-01-18T07:07:00Z</dcterms:modified>
</cp:coreProperties>
</file>